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9B" w:rsidRDefault="00F97988" w:rsidP="00B9662F">
      <w:pPr>
        <w:spacing w:after="0"/>
        <w:jc w:val="center"/>
        <w:rPr>
          <w:rFonts w:ascii="Times New Roman" w:hAnsi="Times New Roman"/>
          <w:sz w:val="28"/>
          <w:szCs w:val="28"/>
          <w:lang w:val="en-US" w:eastAsia="ru-RU"/>
        </w:rPr>
      </w:pPr>
      <w:r w:rsidRPr="00F97988">
        <w:rPr>
          <w:rFonts w:ascii="Times New Roman" w:hAnsi="Times New Roman"/>
          <w:sz w:val="28"/>
          <w:szCs w:val="28"/>
          <w:lang w:val="en-US" w:eastAsia="ru-RU"/>
        </w:rPr>
        <w:t>LUKOIL ANNOUNCES IFRS FINANCIAL RESULTS</w:t>
      </w:r>
    </w:p>
    <w:p w:rsidR="00B9662F" w:rsidRPr="00F97988" w:rsidRDefault="009A7E9B" w:rsidP="00B9662F">
      <w:pPr>
        <w:spacing w:after="0"/>
        <w:jc w:val="center"/>
        <w:rPr>
          <w:rFonts w:ascii="Times New Roman" w:hAnsi="Times New Roman"/>
          <w:sz w:val="28"/>
          <w:szCs w:val="28"/>
          <w:lang w:val="en-US" w:eastAsia="ru-RU"/>
        </w:rPr>
      </w:pPr>
      <w:r w:rsidRPr="00B91CD5">
        <w:rPr>
          <w:rFonts w:ascii="Times New Roman" w:hAnsi="Times New Roman"/>
          <w:sz w:val="28"/>
          <w:szCs w:val="28"/>
          <w:lang w:val="en-US" w:eastAsia="ru-RU"/>
        </w:rPr>
        <w:t xml:space="preserve">FOR THE </w:t>
      </w:r>
      <w:r>
        <w:rPr>
          <w:rFonts w:ascii="Times New Roman" w:hAnsi="Times New Roman"/>
          <w:sz w:val="28"/>
          <w:szCs w:val="28"/>
          <w:lang w:val="en-US" w:eastAsia="ru-RU"/>
        </w:rPr>
        <w:t>FIRST</w:t>
      </w:r>
      <w:r w:rsidRPr="00B91CD5">
        <w:rPr>
          <w:rFonts w:ascii="Times New Roman" w:hAnsi="Times New Roman"/>
          <w:sz w:val="28"/>
          <w:szCs w:val="28"/>
          <w:lang w:val="en-US" w:eastAsia="ru-RU"/>
        </w:rPr>
        <w:t xml:space="preserve"> QUARTER OF 20</w:t>
      </w:r>
      <w:r>
        <w:rPr>
          <w:rFonts w:ascii="Times New Roman" w:hAnsi="Times New Roman"/>
          <w:sz w:val="28"/>
          <w:szCs w:val="28"/>
          <w:lang w:val="en-US" w:eastAsia="ru-RU"/>
        </w:rPr>
        <w:t>21</w:t>
      </w:r>
    </w:p>
    <w:p w:rsidR="00B9662F" w:rsidRPr="00F97988" w:rsidRDefault="00B9662F" w:rsidP="00B9662F">
      <w:pPr>
        <w:spacing w:after="0"/>
        <w:jc w:val="center"/>
        <w:rPr>
          <w:rFonts w:ascii="Times New Roman" w:hAnsi="Times New Roman"/>
          <w:sz w:val="28"/>
          <w:szCs w:val="28"/>
          <w:lang w:val="en-US" w:eastAsia="ru-RU"/>
        </w:rPr>
      </w:pPr>
    </w:p>
    <w:p w:rsidR="00F97988" w:rsidRDefault="00F97988" w:rsidP="00B9662F">
      <w:pPr>
        <w:snapToGrid w:val="0"/>
        <w:spacing w:line="240" w:lineRule="auto"/>
        <w:jc w:val="both"/>
        <w:rPr>
          <w:rFonts w:ascii="Times New Roman" w:hAnsi="Times New Roman"/>
          <w:sz w:val="28"/>
          <w:szCs w:val="28"/>
          <w:lang w:val="en-US"/>
        </w:rPr>
      </w:pPr>
      <w:r w:rsidRPr="00F97988">
        <w:rPr>
          <w:rFonts w:ascii="Times New Roman" w:hAnsi="Times New Roman"/>
          <w:sz w:val="28"/>
          <w:szCs w:val="28"/>
          <w:lang w:val="en-US"/>
        </w:rPr>
        <w:t>PJSC "LUKOIL" released its condensed interim consolidated financial statements for the three-month period ended March 31, 202</w:t>
      </w:r>
      <w:r>
        <w:rPr>
          <w:rFonts w:ascii="Times New Roman" w:hAnsi="Times New Roman"/>
          <w:sz w:val="28"/>
          <w:szCs w:val="28"/>
          <w:lang w:val="en-US"/>
        </w:rPr>
        <w:t>1</w:t>
      </w:r>
      <w:r w:rsidRPr="00F97988">
        <w:rPr>
          <w:rFonts w:ascii="Times New Roman" w:hAnsi="Times New Roman"/>
          <w:sz w:val="28"/>
          <w:szCs w:val="28"/>
          <w:lang w:val="en-US"/>
        </w:rPr>
        <w:t xml:space="preserve"> prepared in accordance with International Financial Reporting Standards (IFRS).</w:t>
      </w:r>
    </w:p>
    <w:p w:rsidR="004324DA" w:rsidRPr="003D78F8" w:rsidRDefault="004324DA" w:rsidP="00B9662F">
      <w:pPr>
        <w:snapToGrid w:val="0"/>
        <w:spacing w:line="240" w:lineRule="auto"/>
        <w:jc w:val="both"/>
        <w:rPr>
          <w:rFonts w:ascii="Times New Roman" w:hAnsi="Times New Roman"/>
          <w:sz w:val="18"/>
          <w:szCs w:val="28"/>
          <w:lang w:val="en-US"/>
        </w:rPr>
      </w:pPr>
    </w:p>
    <w:p w:rsidR="00B9662F" w:rsidRPr="00325FD4" w:rsidRDefault="00F97988" w:rsidP="00B9662F">
      <w:pPr>
        <w:snapToGrid w:val="0"/>
        <w:spacing w:line="240" w:lineRule="auto"/>
        <w:jc w:val="center"/>
        <w:rPr>
          <w:rFonts w:ascii="Times New Roman" w:hAnsi="Times New Roman"/>
          <w:b/>
          <w:sz w:val="28"/>
          <w:szCs w:val="28"/>
        </w:rPr>
      </w:pPr>
      <w:r w:rsidRPr="00F97988">
        <w:rPr>
          <w:rFonts w:ascii="Times New Roman" w:hAnsi="Times New Roman"/>
          <w:b/>
          <w:sz w:val="28"/>
          <w:szCs w:val="28"/>
        </w:rPr>
        <w:t>Financial Highlights</w:t>
      </w:r>
    </w:p>
    <w:tbl>
      <w:tblPr>
        <w:tblStyle w:val="af2"/>
        <w:tblW w:w="9864" w:type="dxa"/>
        <w:jc w:val="center"/>
        <w:tblLayout w:type="fixed"/>
        <w:tblLook w:val="04A0" w:firstRow="1" w:lastRow="0" w:firstColumn="1" w:lastColumn="0" w:noHBand="0" w:noVBand="1"/>
      </w:tblPr>
      <w:tblGrid>
        <w:gridCol w:w="1247"/>
        <w:gridCol w:w="1247"/>
        <w:gridCol w:w="4876"/>
        <w:gridCol w:w="1247"/>
        <w:gridCol w:w="1247"/>
      </w:tblGrid>
      <w:tr w:rsidR="00B9662F" w:rsidRPr="00325FD4" w:rsidTr="00FC7BC5">
        <w:trPr>
          <w:jc w:val="center"/>
        </w:trPr>
        <w:tc>
          <w:tcPr>
            <w:tcW w:w="1247" w:type="dxa"/>
            <w:tcBorders>
              <w:top w:val="nil"/>
              <w:left w:val="nil"/>
              <w:bottom w:val="nil"/>
              <w:right w:val="nil"/>
            </w:tcBorders>
            <w:hideMark/>
          </w:tcPr>
          <w:p w:rsidR="00B9662F" w:rsidRPr="00325FD4" w:rsidRDefault="00F97988" w:rsidP="00FC7BC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lang w:val="en-US"/>
              </w:rPr>
              <w:t>1Q</w:t>
            </w:r>
          </w:p>
        </w:tc>
        <w:tc>
          <w:tcPr>
            <w:tcW w:w="1247" w:type="dxa"/>
            <w:tcBorders>
              <w:top w:val="nil"/>
              <w:left w:val="nil"/>
              <w:bottom w:val="nil"/>
              <w:right w:val="nil"/>
            </w:tcBorders>
          </w:tcPr>
          <w:p w:rsidR="00B9662F" w:rsidRPr="00F97988" w:rsidRDefault="00640226" w:rsidP="00F97988">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4</w:t>
            </w:r>
            <w:r w:rsidR="00F97988">
              <w:rPr>
                <w:rFonts w:ascii="Times New Roman" w:hAnsi="Times New Roman" w:cs="Times New Roman"/>
                <w:b/>
                <w:sz w:val="24"/>
                <w:szCs w:val="24"/>
                <w:lang w:val="en-US"/>
              </w:rPr>
              <w:t>Q</w:t>
            </w:r>
          </w:p>
        </w:tc>
        <w:tc>
          <w:tcPr>
            <w:tcW w:w="4876" w:type="dxa"/>
            <w:tcBorders>
              <w:top w:val="nil"/>
              <w:left w:val="nil"/>
              <w:bottom w:val="nil"/>
              <w:right w:val="nil"/>
            </w:tcBorders>
          </w:tcPr>
          <w:p w:rsidR="00B9662F" w:rsidRDefault="00B9662F" w:rsidP="00FC7BC5">
            <w:pPr>
              <w:spacing w:after="0" w:line="240" w:lineRule="auto"/>
              <w:jc w:val="center"/>
              <w:rPr>
                <w:rFonts w:ascii="Times New Roman" w:hAnsi="Times New Roman" w:cs="Times New Roman"/>
                <w:b/>
                <w:sz w:val="24"/>
                <w:szCs w:val="24"/>
                <w:lang w:val="en-US"/>
              </w:rPr>
            </w:pPr>
          </w:p>
        </w:tc>
        <w:tc>
          <w:tcPr>
            <w:tcW w:w="1247" w:type="dxa"/>
            <w:tcBorders>
              <w:top w:val="nil"/>
              <w:left w:val="nil"/>
              <w:bottom w:val="nil"/>
              <w:right w:val="nil"/>
            </w:tcBorders>
          </w:tcPr>
          <w:p w:rsidR="00B9662F" w:rsidRPr="00325FD4" w:rsidRDefault="00F97988" w:rsidP="00FC7BC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lang w:val="en-US"/>
              </w:rPr>
              <w:t>1Q</w:t>
            </w:r>
          </w:p>
        </w:tc>
        <w:tc>
          <w:tcPr>
            <w:tcW w:w="1247" w:type="dxa"/>
            <w:tcBorders>
              <w:top w:val="nil"/>
              <w:left w:val="nil"/>
              <w:bottom w:val="nil"/>
              <w:right w:val="nil"/>
            </w:tcBorders>
          </w:tcPr>
          <w:p w:rsidR="00B9662F" w:rsidRPr="00325FD4" w:rsidRDefault="00F97988" w:rsidP="00FC7BC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lang w:val="en-US"/>
              </w:rPr>
              <w:t>1Q</w:t>
            </w:r>
          </w:p>
        </w:tc>
      </w:tr>
      <w:tr w:rsidR="00B9662F" w:rsidRPr="00325FD4" w:rsidTr="00FC7BC5">
        <w:trPr>
          <w:jc w:val="center"/>
        </w:trPr>
        <w:tc>
          <w:tcPr>
            <w:tcW w:w="1247" w:type="dxa"/>
            <w:tcBorders>
              <w:top w:val="nil"/>
              <w:left w:val="nil"/>
              <w:bottom w:val="single" w:sz="4" w:space="0" w:color="auto"/>
              <w:right w:val="nil"/>
            </w:tcBorders>
            <w:hideMark/>
          </w:tcPr>
          <w:p w:rsidR="00B9662F" w:rsidRPr="004B4DC3" w:rsidRDefault="00B9662F" w:rsidP="00FC7BC5">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2021</w:t>
            </w:r>
          </w:p>
        </w:tc>
        <w:tc>
          <w:tcPr>
            <w:tcW w:w="1247" w:type="dxa"/>
            <w:tcBorders>
              <w:top w:val="nil"/>
              <w:left w:val="nil"/>
              <w:bottom w:val="single" w:sz="4" w:space="0" w:color="auto"/>
              <w:right w:val="nil"/>
            </w:tcBorders>
          </w:tcPr>
          <w:p w:rsidR="00B9662F" w:rsidRPr="004B4DC3" w:rsidRDefault="00B9662F" w:rsidP="00FC7BC5">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2020</w:t>
            </w:r>
          </w:p>
        </w:tc>
        <w:tc>
          <w:tcPr>
            <w:tcW w:w="4876" w:type="dxa"/>
            <w:tcBorders>
              <w:top w:val="nil"/>
              <w:left w:val="nil"/>
              <w:bottom w:val="single" w:sz="4" w:space="0" w:color="auto"/>
              <w:right w:val="nil"/>
            </w:tcBorders>
          </w:tcPr>
          <w:p w:rsidR="00B9662F" w:rsidRDefault="00B9662F" w:rsidP="00FC7BC5">
            <w:pPr>
              <w:spacing w:after="0" w:line="240" w:lineRule="auto"/>
              <w:jc w:val="center"/>
              <w:rPr>
                <w:rFonts w:ascii="Times New Roman" w:hAnsi="Times New Roman" w:cs="Times New Roman"/>
                <w:b/>
                <w:sz w:val="24"/>
                <w:szCs w:val="24"/>
                <w:lang w:val="en-US"/>
              </w:rPr>
            </w:pPr>
          </w:p>
        </w:tc>
        <w:tc>
          <w:tcPr>
            <w:tcW w:w="1247" w:type="dxa"/>
            <w:tcBorders>
              <w:top w:val="nil"/>
              <w:left w:val="nil"/>
              <w:bottom w:val="single" w:sz="4" w:space="0" w:color="auto"/>
              <w:right w:val="nil"/>
            </w:tcBorders>
          </w:tcPr>
          <w:p w:rsidR="00B9662F" w:rsidRPr="004B4DC3" w:rsidRDefault="00B9662F" w:rsidP="00FC7BC5">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2021</w:t>
            </w:r>
          </w:p>
        </w:tc>
        <w:tc>
          <w:tcPr>
            <w:tcW w:w="1247" w:type="dxa"/>
            <w:tcBorders>
              <w:top w:val="nil"/>
              <w:left w:val="nil"/>
              <w:bottom w:val="single" w:sz="4" w:space="0" w:color="auto"/>
              <w:right w:val="nil"/>
            </w:tcBorders>
            <w:hideMark/>
          </w:tcPr>
          <w:p w:rsidR="00B9662F" w:rsidRPr="004B4DC3" w:rsidRDefault="00B9662F" w:rsidP="00FC7BC5">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2020</w:t>
            </w:r>
          </w:p>
        </w:tc>
      </w:tr>
      <w:tr w:rsidR="00B9662F" w:rsidRPr="00325FD4" w:rsidTr="00FC7BC5">
        <w:trPr>
          <w:jc w:val="center"/>
        </w:trPr>
        <w:tc>
          <w:tcPr>
            <w:tcW w:w="1247" w:type="dxa"/>
            <w:tcBorders>
              <w:top w:val="single" w:sz="4" w:space="0" w:color="auto"/>
              <w:left w:val="single" w:sz="4" w:space="0" w:color="FFFFFF" w:themeColor="background1"/>
              <w:bottom w:val="nil"/>
              <w:right w:val="single" w:sz="4" w:space="0" w:color="FFFFFF" w:themeColor="background1"/>
            </w:tcBorders>
          </w:tcPr>
          <w:p w:rsidR="00B9662F" w:rsidRDefault="00B9662F" w:rsidP="00FC7BC5">
            <w:pPr>
              <w:spacing w:after="0" w:line="240" w:lineRule="auto"/>
              <w:rPr>
                <w:rFonts w:ascii="Times New Roman" w:hAnsi="Times New Roman" w:cs="Times New Roman"/>
                <w:sz w:val="24"/>
                <w:szCs w:val="24"/>
                <w:lang w:val="en-US"/>
              </w:rPr>
            </w:pPr>
          </w:p>
        </w:tc>
        <w:tc>
          <w:tcPr>
            <w:tcW w:w="1247" w:type="dxa"/>
            <w:tcBorders>
              <w:top w:val="single" w:sz="4" w:space="0" w:color="auto"/>
              <w:left w:val="single" w:sz="4" w:space="0" w:color="FFFFFF" w:themeColor="background1"/>
              <w:bottom w:val="nil"/>
              <w:right w:val="single" w:sz="4" w:space="0" w:color="FFFFFF" w:themeColor="background1"/>
            </w:tcBorders>
          </w:tcPr>
          <w:p w:rsidR="00B9662F" w:rsidRDefault="00B9662F" w:rsidP="00FC7BC5">
            <w:pPr>
              <w:spacing w:after="0" w:line="240" w:lineRule="auto"/>
              <w:rPr>
                <w:rFonts w:ascii="Times New Roman" w:hAnsi="Times New Roman" w:cs="Times New Roman"/>
                <w:sz w:val="24"/>
                <w:szCs w:val="24"/>
                <w:lang w:val="en-US"/>
              </w:rPr>
            </w:pPr>
          </w:p>
        </w:tc>
        <w:tc>
          <w:tcPr>
            <w:tcW w:w="4876" w:type="dxa"/>
            <w:tcBorders>
              <w:top w:val="single" w:sz="4" w:space="0" w:color="auto"/>
              <w:left w:val="single" w:sz="4" w:space="0" w:color="FFFFFF" w:themeColor="background1"/>
              <w:bottom w:val="nil"/>
              <w:right w:val="single" w:sz="4" w:space="0" w:color="FFFFFF" w:themeColor="background1"/>
            </w:tcBorders>
          </w:tcPr>
          <w:p w:rsidR="00B9662F" w:rsidRPr="00BA652B" w:rsidRDefault="00F97988" w:rsidP="00FC7BC5">
            <w:pPr>
              <w:spacing w:after="120" w:line="240" w:lineRule="auto"/>
              <w:jc w:val="center"/>
              <w:rPr>
                <w:rFonts w:ascii="Times New Roman" w:eastAsia="Times New Roman" w:hAnsi="Times New Roman" w:cs="Times New Roman"/>
                <w:szCs w:val="24"/>
                <w:lang w:val="en-GB" w:eastAsia="ru-RU"/>
              </w:rPr>
            </w:pPr>
            <w:r w:rsidRPr="00F97988">
              <w:rPr>
                <w:rFonts w:ascii="Times New Roman" w:eastAsia="Times New Roman" w:hAnsi="Times New Roman" w:cs="Times New Roman"/>
                <w:szCs w:val="24"/>
                <w:lang w:val="en-GB" w:eastAsia="ru-RU"/>
              </w:rPr>
              <w:t>(RUB bln)</w:t>
            </w:r>
          </w:p>
        </w:tc>
        <w:tc>
          <w:tcPr>
            <w:tcW w:w="1247" w:type="dxa"/>
            <w:tcBorders>
              <w:top w:val="single" w:sz="4" w:space="0" w:color="auto"/>
              <w:left w:val="single" w:sz="4" w:space="0" w:color="FFFFFF" w:themeColor="background1"/>
              <w:bottom w:val="nil"/>
              <w:right w:val="single" w:sz="4" w:space="0" w:color="FFFFFF" w:themeColor="background1"/>
            </w:tcBorders>
          </w:tcPr>
          <w:p w:rsidR="00B9662F" w:rsidRDefault="00B9662F" w:rsidP="00FC7BC5">
            <w:pPr>
              <w:spacing w:after="0" w:line="240" w:lineRule="auto"/>
              <w:rPr>
                <w:rFonts w:ascii="Times New Roman" w:hAnsi="Times New Roman" w:cs="Times New Roman"/>
                <w:sz w:val="24"/>
                <w:szCs w:val="24"/>
                <w:lang w:val="en-US"/>
              </w:rPr>
            </w:pPr>
          </w:p>
        </w:tc>
        <w:tc>
          <w:tcPr>
            <w:tcW w:w="1247" w:type="dxa"/>
            <w:tcBorders>
              <w:top w:val="single" w:sz="4" w:space="0" w:color="auto"/>
              <w:left w:val="single" w:sz="4" w:space="0" w:color="FFFFFF" w:themeColor="background1"/>
              <w:bottom w:val="nil"/>
              <w:right w:val="single" w:sz="4" w:space="0" w:color="FFFFFF" w:themeColor="background1"/>
            </w:tcBorders>
          </w:tcPr>
          <w:p w:rsidR="00B9662F" w:rsidRDefault="00B9662F" w:rsidP="00FC7BC5">
            <w:pPr>
              <w:spacing w:after="0" w:line="240" w:lineRule="auto"/>
              <w:rPr>
                <w:rFonts w:ascii="Times New Roman" w:hAnsi="Times New Roman" w:cs="Times New Roman"/>
                <w:sz w:val="24"/>
                <w:szCs w:val="24"/>
                <w:lang w:val="en-US"/>
              </w:rPr>
            </w:pPr>
          </w:p>
        </w:tc>
      </w:tr>
      <w:tr w:rsidR="00B9662F" w:rsidRPr="00325FD4" w:rsidTr="00FC7BC5">
        <w:trPr>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color w:val="000000" w:themeColor="text1"/>
                <w:szCs w:val="24"/>
                <w:lang w:val="en-US" w:eastAsia="ru-RU"/>
              </w:rPr>
            </w:pPr>
            <w:r>
              <w:rPr>
                <w:rFonts w:ascii="Times New Roman" w:eastAsia="Times New Roman" w:hAnsi="Times New Roman" w:cs="Times New Roman"/>
                <w:color w:val="000000" w:themeColor="text1"/>
                <w:szCs w:val="24"/>
                <w:lang w:val="en-US" w:eastAsia="ru-RU"/>
              </w:rPr>
              <w:t>1,876.</w:t>
            </w:r>
            <w:r w:rsidR="00B9662F">
              <w:rPr>
                <w:rFonts w:ascii="Times New Roman" w:eastAsia="Times New Roman" w:hAnsi="Times New Roman" w:cs="Times New Roman"/>
                <w:color w:val="000000" w:themeColor="text1"/>
                <w:szCs w:val="24"/>
                <w:lang w:val="en-US" w:eastAsia="ru-RU"/>
              </w:rPr>
              <w:t>5</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jc w:val="right"/>
              <w:rPr>
                <w:rFonts w:ascii="Times New Roman" w:eastAsia="Times New Roman" w:hAnsi="Times New Roman" w:cs="Times New Roman"/>
                <w:color w:val="000000" w:themeColor="text1"/>
                <w:szCs w:val="24"/>
                <w:lang w:val="en-US" w:eastAsia="ru-RU"/>
              </w:rPr>
            </w:pPr>
            <w:r>
              <w:rPr>
                <w:rFonts w:ascii="Times New Roman" w:eastAsia="Times New Roman" w:hAnsi="Times New Roman" w:cs="Times New Roman"/>
                <w:color w:val="000000" w:themeColor="text1"/>
                <w:szCs w:val="24"/>
                <w:lang w:val="en-US" w:eastAsia="ru-RU"/>
              </w:rPr>
              <w:t>1,530.</w:t>
            </w:r>
            <w:r w:rsidR="00B9662F" w:rsidRPr="00B41C19">
              <w:rPr>
                <w:rFonts w:ascii="Times New Roman" w:eastAsia="Times New Roman" w:hAnsi="Times New Roman" w:cs="Times New Roman"/>
                <w:color w:val="000000" w:themeColor="text1"/>
                <w:szCs w:val="24"/>
                <w:lang w:val="en-US" w:eastAsia="ru-RU"/>
              </w:rPr>
              <w:t>3</w:t>
            </w:r>
          </w:p>
        </w:tc>
        <w:tc>
          <w:tcPr>
            <w:tcW w:w="4876" w:type="dxa"/>
            <w:tcBorders>
              <w:top w:val="nil"/>
              <w:left w:val="single" w:sz="4" w:space="0" w:color="FFFFFF" w:themeColor="background1"/>
              <w:bottom w:val="nil"/>
              <w:right w:val="single" w:sz="4" w:space="0" w:color="FFFFFF" w:themeColor="background1"/>
            </w:tcBorders>
          </w:tcPr>
          <w:p w:rsidR="00B9662F" w:rsidRPr="00BA652B" w:rsidRDefault="00F97988" w:rsidP="00FC7BC5">
            <w:pPr>
              <w:spacing w:after="120" w:line="240" w:lineRule="auto"/>
              <w:rPr>
                <w:rFonts w:ascii="Times New Roman" w:eastAsia="Times New Roman" w:hAnsi="Times New Roman" w:cs="Times New Roman"/>
                <w:szCs w:val="24"/>
                <w:lang w:eastAsia="ru-RU"/>
              </w:rPr>
            </w:pPr>
            <w:r w:rsidRPr="00F97988">
              <w:rPr>
                <w:rFonts w:ascii="Times New Roman" w:eastAsia="Times New Roman" w:hAnsi="Times New Roman" w:cs="Times New Roman"/>
                <w:szCs w:val="24"/>
                <w:lang w:eastAsia="ru-RU"/>
              </w:rPr>
              <w:t>Sales</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color w:val="000000" w:themeColor="text1"/>
                <w:szCs w:val="24"/>
                <w:lang w:val="en-US" w:eastAsia="ru-RU"/>
              </w:rPr>
            </w:pPr>
            <w:r>
              <w:rPr>
                <w:rFonts w:ascii="Times New Roman" w:eastAsia="Times New Roman" w:hAnsi="Times New Roman" w:cs="Times New Roman"/>
                <w:color w:val="000000" w:themeColor="text1"/>
                <w:szCs w:val="24"/>
                <w:lang w:val="en-US" w:eastAsia="ru-RU"/>
              </w:rPr>
              <w:t>1,876.</w:t>
            </w:r>
            <w:r w:rsidR="00B9662F">
              <w:rPr>
                <w:rFonts w:ascii="Times New Roman" w:eastAsia="Times New Roman" w:hAnsi="Times New Roman" w:cs="Times New Roman"/>
                <w:color w:val="000000" w:themeColor="text1"/>
                <w:szCs w:val="24"/>
                <w:lang w:val="en-US" w:eastAsia="ru-RU"/>
              </w:rPr>
              <w:t>5</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321254" w:rsidRDefault="00F97988"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val="en-US" w:eastAsia="ru-RU"/>
              </w:rPr>
              <w:t>1,666.</w:t>
            </w:r>
            <w:r w:rsidR="00B9662F" w:rsidRPr="002F0006">
              <w:rPr>
                <w:rFonts w:ascii="Times New Roman" w:eastAsia="Times New Roman" w:hAnsi="Times New Roman" w:cs="Times New Roman"/>
                <w:color w:val="000000" w:themeColor="text1"/>
                <w:szCs w:val="24"/>
                <w:lang w:val="en-US" w:eastAsia="ru-RU"/>
              </w:rPr>
              <w:t>0</w:t>
            </w:r>
          </w:p>
        </w:tc>
      </w:tr>
      <w:tr w:rsidR="00B9662F" w:rsidRPr="00292B9D" w:rsidTr="00FC7BC5">
        <w:trPr>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b/>
                <w:color w:val="000000" w:themeColor="text1"/>
                <w:szCs w:val="24"/>
                <w:lang w:val="en-US" w:eastAsia="ru-RU"/>
              </w:rPr>
            </w:pPr>
            <w:r>
              <w:rPr>
                <w:rFonts w:ascii="Times New Roman" w:eastAsia="Times New Roman" w:hAnsi="Times New Roman" w:cs="Times New Roman"/>
                <w:b/>
                <w:color w:val="000000" w:themeColor="text1"/>
                <w:szCs w:val="24"/>
                <w:lang w:val="en-US" w:eastAsia="ru-RU"/>
              </w:rPr>
              <w:t>314.</w:t>
            </w:r>
            <w:r w:rsidR="00B9662F">
              <w:rPr>
                <w:rFonts w:ascii="Times New Roman" w:eastAsia="Times New Roman" w:hAnsi="Times New Roman" w:cs="Times New Roman"/>
                <w:b/>
                <w:color w:val="000000" w:themeColor="text1"/>
                <w:szCs w:val="24"/>
                <w:lang w:val="en-US" w:eastAsia="ru-RU"/>
              </w:rPr>
              <w:t>4</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b/>
                <w:color w:val="000000" w:themeColor="text1"/>
                <w:szCs w:val="24"/>
                <w:lang w:val="en-US" w:eastAsia="ru-RU"/>
              </w:rPr>
            </w:pPr>
            <w:r>
              <w:rPr>
                <w:rFonts w:ascii="Times New Roman" w:eastAsia="Times New Roman" w:hAnsi="Times New Roman" w:cs="Times New Roman"/>
                <w:b/>
                <w:color w:val="000000" w:themeColor="text1"/>
                <w:szCs w:val="24"/>
                <w:lang w:val="en-US" w:eastAsia="ru-RU"/>
              </w:rPr>
              <w:t>189.</w:t>
            </w:r>
            <w:r w:rsidR="00B9662F" w:rsidRPr="00B41C19">
              <w:rPr>
                <w:rFonts w:ascii="Times New Roman" w:eastAsia="Times New Roman" w:hAnsi="Times New Roman" w:cs="Times New Roman"/>
                <w:b/>
                <w:color w:val="000000" w:themeColor="text1"/>
                <w:szCs w:val="24"/>
                <w:lang w:val="en-US" w:eastAsia="ru-RU"/>
              </w:rPr>
              <w:t>6</w:t>
            </w:r>
          </w:p>
        </w:tc>
        <w:tc>
          <w:tcPr>
            <w:tcW w:w="4876" w:type="dxa"/>
            <w:tcBorders>
              <w:top w:val="nil"/>
              <w:left w:val="single" w:sz="4" w:space="0" w:color="FFFFFF" w:themeColor="background1"/>
              <w:bottom w:val="nil"/>
              <w:right w:val="single" w:sz="4" w:space="0" w:color="FFFFFF" w:themeColor="background1"/>
            </w:tcBorders>
          </w:tcPr>
          <w:p w:rsidR="00B9662F" w:rsidRPr="00B41C19" w:rsidRDefault="00B9662F" w:rsidP="00FC7BC5">
            <w:pPr>
              <w:spacing w:after="120" w:line="240" w:lineRule="auto"/>
              <w:rPr>
                <w:rFonts w:ascii="Times New Roman" w:eastAsia="Times New Roman" w:hAnsi="Times New Roman" w:cs="Times New Roman"/>
                <w:b/>
                <w:color w:val="000000"/>
                <w:szCs w:val="24"/>
                <w:lang w:eastAsia="ru-RU"/>
              </w:rPr>
            </w:pPr>
            <w:r w:rsidRPr="00B41C19">
              <w:rPr>
                <w:rFonts w:ascii="Times New Roman" w:eastAsia="Times New Roman" w:hAnsi="Times New Roman" w:cs="Times New Roman"/>
                <w:b/>
                <w:color w:val="000000"/>
                <w:szCs w:val="24"/>
                <w:lang w:eastAsia="ru-RU"/>
              </w:rPr>
              <w:t xml:space="preserve">EBITDA </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b/>
                <w:color w:val="000000" w:themeColor="text1"/>
                <w:szCs w:val="24"/>
                <w:lang w:val="en-US" w:eastAsia="ru-RU"/>
              </w:rPr>
            </w:pPr>
            <w:r>
              <w:rPr>
                <w:rFonts w:ascii="Times New Roman" w:eastAsia="Times New Roman" w:hAnsi="Times New Roman" w:cs="Times New Roman"/>
                <w:b/>
                <w:color w:val="000000" w:themeColor="text1"/>
                <w:szCs w:val="24"/>
                <w:lang w:val="en-US" w:eastAsia="ru-RU"/>
              </w:rPr>
              <w:t>314.</w:t>
            </w:r>
            <w:r w:rsidR="00B9662F">
              <w:rPr>
                <w:rFonts w:ascii="Times New Roman" w:eastAsia="Times New Roman" w:hAnsi="Times New Roman" w:cs="Times New Roman"/>
                <w:b/>
                <w:color w:val="000000" w:themeColor="text1"/>
                <w:szCs w:val="24"/>
                <w:lang w:val="en-US" w:eastAsia="ru-RU"/>
              </w:rPr>
              <w:t>4</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150.</w:t>
            </w:r>
            <w:r w:rsidR="00B9662F" w:rsidRPr="00B41C19">
              <w:rPr>
                <w:rFonts w:ascii="Times New Roman" w:eastAsia="Times New Roman" w:hAnsi="Times New Roman" w:cs="Times New Roman"/>
                <w:b/>
                <w:color w:val="000000" w:themeColor="text1"/>
                <w:szCs w:val="24"/>
                <w:lang w:eastAsia="ru-RU"/>
              </w:rPr>
              <w:t>8</w:t>
            </w:r>
          </w:p>
        </w:tc>
      </w:tr>
      <w:tr w:rsidR="00B9662F" w:rsidTr="00FC7BC5">
        <w:trPr>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0476C7" w:rsidRDefault="00F97988"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val="en-US" w:eastAsia="ru-RU"/>
              </w:rPr>
              <w:t>157.</w:t>
            </w:r>
            <w:r w:rsidR="00B9662F">
              <w:rPr>
                <w:rFonts w:ascii="Times New Roman" w:eastAsia="Times New Roman" w:hAnsi="Times New Roman" w:cs="Times New Roman"/>
                <w:color w:val="000000" w:themeColor="text1"/>
                <w:szCs w:val="24"/>
                <w:lang w:val="en-US" w:eastAsia="ru-RU"/>
              </w:rPr>
              <w:t>4</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color w:val="000000" w:themeColor="text1"/>
                <w:szCs w:val="24"/>
                <w:lang w:val="en-US" w:eastAsia="ru-RU"/>
              </w:rPr>
            </w:pPr>
            <w:r>
              <w:rPr>
                <w:rFonts w:ascii="Times New Roman" w:eastAsia="Times New Roman" w:hAnsi="Times New Roman" w:cs="Times New Roman"/>
                <w:color w:val="000000" w:themeColor="text1"/>
                <w:szCs w:val="24"/>
                <w:lang w:val="en-US" w:eastAsia="ru-RU"/>
              </w:rPr>
              <w:t>29.</w:t>
            </w:r>
            <w:r w:rsidR="00B9662F" w:rsidRPr="00B41C19">
              <w:rPr>
                <w:rFonts w:ascii="Times New Roman" w:eastAsia="Times New Roman" w:hAnsi="Times New Roman" w:cs="Times New Roman"/>
                <w:color w:val="000000" w:themeColor="text1"/>
                <w:szCs w:val="24"/>
                <w:lang w:val="en-US" w:eastAsia="ru-RU"/>
              </w:rPr>
              <w:t>4</w:t>
            </w:r>
          </w:p>
        </w:tc>
        <w:tc>
          <w:tcPr>
            <w:tcW w:w="4876" w:type="dxa"/>
            <w:tcBorders>
              <w:top w:val="nil"/>
              <w:left w:val="single" w:sz="4" w:space="0" w:color="FFFFFF" w:themeColor="background1"/>
              <w:bottom w:val="nil"/>
              <w:right w:val="single" w:sz="4" w:space="0" w:color="FFFFFF" w:themeColor="background1"/>
            </w:tcBorders>
          </w:tcPr>
          <w:p w:rsidR="00B9662F" w:rsidRPr="00F97988" w:rsidRDefault="00F97988" w:rsidP="00F97988">
            <w:pPr>
              <w:spacing w:after="120" w:line="240" w:lineRule="auto"/>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Profit (l</w:t>
            </w:r>
            <w:r w:rsidRPr="00F97988">
              <w:rPr>
                <w:rFonts w:ascii="Times New Roman" w:eastAsia="Times New Roman" w:hAnsi="Times New Roman" w:cs="Times New Roman"/>
                <w:szCs w:val="24"/>
                <w:lang w:val="en-US" w:eastAsia="ru-RU"/>
              </w:rPr>
              <w:t>oss) for the period attributable to LUKOIL shareholders</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476C7" w:rsidRDefault="00B9662F"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val="en-US" w:eastAsia="ru-RU"/>
              </w:rPr>
              <w:t>1</w:t>
            </w:r>
            <w:r w:rsidR="00F97988">
              <w:rPr>
                <w:rFonts w:ascii="Times New Roman" w:eastAsia="Times New Roman" w:hAnsi="Times New Roman" w:cs="Times New Roman"/>
                <w:color w:val="000000" w:themeColor="text1"/>
                <w:szCs w:val="24"/>
                <w:lang w:val="en-US" w:eastAsia="ru-RU"/>
              </w:rPr>
              <w:t>57.</w:t>
            </w:r>
            <w:r>
              <w:rPr>
                <w:rFonts w:ascii="Times New Roman" w:eastAsia="Times New Roman" w:hAnsi="Times New Roman" w:cs="Times New Roman"/>
                <w:color w:val="000000" w:themeColor="text1"/>
                <w:szCs w:val="24"/>
                <w:lang w:val="en-US" w:eastAsia="ru-RU"/>
              </w:rPr>
              <w:t>4</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5A7926" w:rsidRDefault="00F97988"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(46.</w:t>
            </w:r>
            <w:r w:rsidR="00B9662F" w:rsidRPr="002F0006">
              <w:rPr>
                <w:rFonts w:ascii="Times New Roman" w:eastAsia="Times New Roman" w:hAnsi="Times New Roman" w:cs="Times New Roman"/>
                <w:color w:val="000000" w:themeColor="text1"/>
                <w:szCs w:val="24"/>
                <w:lang w:eastAsia="ru-RU"/>
              </w:rPr>
              <w:t>0)</w:t>
            </w:r>
          </w:p>
        </w:tc>
      </w:tr>
      <w:tr w:rsidR="00B9662F" w:rsidTr="00FC7BC5">
        <w:trPr>
          <w:trHeight w:val="245"/>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color w:val="000000" w:themeColor="text1"/>
                <w:szCs w:val="24"/>
                <w:lang w:val="en-US" w:eastAsia="ru-RU"/>
              </w:rPr>
            </w:pPr>
            <w:r>
              <w:rPr>
                <w:rFonts w:ascii="Times New Roman" w:eastAsia="Times New Roman" w:hAnsi="Times New Roman" w:cs="Times New Roman"/>
                <w:color w:val="000000" w:themeColor="text1"/>
                <w:szCs w:val="24"/>
                <w:lang w:val="en-US" w:eastAsia="ru-RU"/>
              </w:rPr>
              <w:t>107.</w:t>
            </w:r>
            <w:r w:rsidR="00B9662F" w:rsidRPr="00B41C19">
              <w:rPr>
                <w:rFonts w:ascii="Times New Roman" w:eastAsia="Times New Roman" w:hAnsi="Times New Roman" w:cs="Times New Roman"/>
                <w:color w:val="000000" w:themeColor="text1"/>
                <w:szCs w:val="24"/>
                <w:lang w:val="en-US" w:eastAsia="ru-RU"/>
              </w:rPr>
              <w:t>2</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color w:val="000000" w:themeColor="text1"/>
                <w:szCs w:val="24"/>
                <w:lang w:val="en-US" w:eastAsia="ru-RU"/>
              </w:rPr>
            </w:pPr>
            <w:r>
              <w:rPr>
                <w:rFonts w:ascii="Times New Roman" w:eastAsia="Times New Roman" w:hAnsi="Times New Roman" w:cs="Times New Roman"/>
                <w:color w:val="000000" w:themeColor="text1"/>
                <w:szCs w:val="24"/>
                <w:lang w:val="en-US" w:eastAsia="ru-RU"/>
              </w:rPr>
              <w:t>135.</w:t>
            </w:r>
            <w:r w:rsidR="00B9662F" w:rsidRPr="00B41C19">
              <w:rPr>
                <w:rFonts w:ascii="Times New Roman" w:eastAsia="Times New Roman" w:hAnsi="Times New Roman" w:cs="Times New Roman"/>
                <w:color w:val="000000" w:themeColor="text1"/>
                <w:szCs w:val="24"/>
                <w:lang w:val="en-US" w:eastAsia="ru-RU"/>
              </w:rPr>
              <w:t>2</w:t>
            </w:r>
          </w:p>
        </w:tc>
        <w:tc>
          <w:tcPr>
            <w:tcW w:w="4876" w:type="dxa"/>
            <w:tcBorders>
              <w:top w:val="nil"/>
              <w:left w:val="single" w:sz="4" w:space="0" w:color="FFFFFF" w:themeColor="background1"/>
              <w:bottom w:val="nil"/>
              <w:right w:val="single" w:sz="4" w:space="0" w:color="FFFFFF" w:themeColor="background1"/>
            </w:tcBorders>
          </w:tcPr>
          <w:p w:rsidR="00B9662F" w:rsidRPr="00BA652B" w:rsidRDefault="00F97988" w:rsidP="00FC7BC5">
            <w:pPr>
              <w:spacing w:after="120" w:line="240" w:lineRule="auto"/>
              <w:rPr>
                <w:rFonts w:ascii="Times New Roman" w:eastAsia="Times New Roman" w:hAnsi="Times New Roman" w:cs="Times New Roman"/>
                <w:szCs w:val="24"/>
                <w:lang w:val="en-GB" w:eastAsia="ru-RU"/>
              </w:rPr>
            </w:pPr>
            <w:r w:rsidRPr="00F97988">
              <w:rPr>
                <w:rFonts w:ascii="Times New Roman" w:eastAsia="Times New Roman" w:hAnsi="Times New Roman" w:cs="Times New Roman"/>
                <w:szCs w:val="24"/>
                <w:lang w:val="en-GB" w:eastAsia="ru-RU"/>
              </w:rPr>
              <w:t>Capital expenditures</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color w:val="000000" w:themeColor="text1"/>
                <w:szCs w:val="24"/>
                <w:lang w:val="en-US" w:eastAsia="ru-RU"/>
              </w:rPr>
            </w:pPr>
            <w:r>
              <w:rPr>
                <w:rFonts w:ascii="Times New Roman" w:eastAsia="Times New Roman" w:hAnsi="Times New Roman" w:cs="Times New Roman"/>
                <w:color w:val="000000" w:themeColor="text1"/>
                <w:szCs w:val="24"/>
                <w:lang w:val="en-US" w:eastAsia="ru-RU"/>
              </w:rPr>
              <w:t>107.</w:t>
            </w:r>
            <w:r w:rsidR="00B9662F" w:rsidRPr="00B41C19">
              <w:rPr>
                <w:rFonts w:ascii="Times New Roman" w:eastAsia="Times New Roman" w:hAnsi="Times New Roman" w:cs="Times New Roman"/>
                <w:color w:val="000000" w:themeColor="text1"/>
                <w:szCs w:val="24"/>
                <w:lang w:val="en-US" w:eastAsia="ru-RU"/>
              </w:rPr>
              <w:t>2</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5A7926" w:rsidRDefault="00F97988"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130.</w:t>
            </w:r>
            <w:r w:rsidR="00B9662F" w:rsidRPr="002F0006">
              <w:rPr>
                <w:rFonts w:ascii="Times New Roman" w:eastAsia="Times New Roman" w:hAnsi="Times New Roman" w:cs="Times New Roman"/>
                <w:color w:val="000000" w:themeColor="text1"/>
                <w:szCs w:val="24"/>
                <w:lang w:eastAsia="ru-RU"/>
              </w:rPr>
              <w:t>2</w:t>
            </w:r>
          </w:p>
        </w:tc>
      </w:tr>
      <w:tr w:rsidR="00B9662F" w:rsidRPr="009D27E0" w:rsidTr="00FC7BC5">
        <w:trPr>
          <w:trHeight w:val="245"/>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BE2C39" w:rsidRDefault="00B9662F"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val="en-US" w:eastAsia="ru-RU"/>
              </w:rPr>
              <w:t>16</w:t>
            </w:r>
            <w:r>
              <w:rPr>
                <w:rFonts w:ascii="Times New Roman" w:eastAsia="Times New Roman" w:hAnsi="Times New Roman" w:cs="Times New Roman"/>
                <w:b/>
                <w:color w:val="000000" w:themeColor="text1"/>
                <w:szCs w:val="24"/>
                <w:lang w:eastAsia="ru-RU"/>
              </w:rPr>
              <w:t>3</w:t>
            </w:r>
            <w:r w:rsidR="00F97988">
              <w:rPr>
                <w:rFonts w:ascii="Times New Roman" w:eastAsia="Times New Roman" w:hAnsi="Times New Roman" w:cs="Times New Roman"/>
                <w:b/>
                <w:color w:val="000000" w:themeColor="text1"/>
                <w:szCs w:val="24"/>
                <w:lang w:val="en-US" w:eastAsia="ru-RU"/>
              </w:rPr>
              <w:t>.</w:t>
            </w:r>
            <w:r>
              <w:rPr>
                <w:rFonts w:ascii="Times New Roman" w:eastAsia="Times New Roman" w:hAnsi="Times New Roman" w:cs="Times New Roman"/>
                <w:b/>
                <w:color w:val="000000" w:themeColor="text1"/>
                <w:szCs w:val="24"/>
                <w:lang w:eastAsia="ru-RU"/>
              </w:rPr>
              <w:t>6</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b/>
                <w:color w:val="000000" w:themeColor="text1"/>
                <w:szCs w:val="24"/>
                <w:lang w:val="en-US" w:eastAsia="ru-RU"/>
              </w:rPr>
            </w:pPr>
            <w:r>
              <w:rPr>
                <w:rFonts w:ascii="Times New Roman" w:eastAsia="Times New Roman" w:hAnsi="Times New Roman" w:cs="Times New Roman"/>
                <w:b/>
                <w:color w:val="000000" w:themeColor="text1"/>
                <w:szCs w:val="24"/>
                <w:lang w:val="en-US" w:eastAsia="ru-RU"/>
              </w:rPr>
              <w:t>85.</w:t>
            </w:r>
            <w:r w:rsidR="00B9662F" w:rsidRPr="00B41C19">
              <w:rPr>
                <w:rFonts w:ascii="Times New Roman" w:eastAsia="Times New Roman" w:hAnsi="Times New Roman" w:cs="Times New Roman"/>
                <w:b/>
                <w:color w:val="000000" w:themeColor="text1"/>
                <w:szCs w:val="24"/>
                <w:lang w:val="en-US" w:eastAsia="ru-RU"/>
              </w:rPr>
              <w:t>5</w:t>
            </w:r>
          </w:p>
        </w:tc>
        <w:tc>
          <w:tcPr>
            <w:tcW w:w="4876" w:type="dxa"/>
            <w:tcBorders>
              <w:top w:val="nil"/>
              <w:left w:val="single" w:sz="4" w:space="0" w:color="FFFFFF" w:themeColor="background1"/>
              <w:bottom w:val="nil"/>
              <w:right w:val="single" w:sz="4" w:space="0" w:color="FFFFFF" w:themeColor="background1"/>
            </w:tcBorders>
          </w:tcPr>
          <w:p w:rsidR="00B9662F" w:rsidRPr="00B41C19" w:rsidRDefault="00F97988" w:rsidP="00FC7BC5">
            <w:pPr>
              <w:spacing w:after="120" w:line="240" w:lineRule="auto"/>
              <w:rPr>
                <w:rFonts w:ascii="Times New Roman" w:eastAsia="Times New Roman" w:hAnsi="Times New Roman"/>
                <w:b/>
                <w:szCs w:val="24"/>
                <w:lang w:val="en-GB" w:eastAsia="ru-RU"/>
              </w:rPr>
            </w:pPr>
            <w:r w:rsidRPr="00F97988">
              <w:rPr>
                <w:rFonts w:ascii="Times New Roman" w:eastAsia="Times New Roman" w:hAnsi="Times New Roman"/>
                <w:b/>
                <w:szCs w:val="24"/>
                <w:lang w:eastAsia="ru-RU"/>
              </w:rPr>
              <w:t>Free cash flow</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BE2C39" w:rsidRDefault="00B9662F"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val="en-US" w:eastAsia="ru-RU"/>
              </w:rPr>
              <w:t>16</w:t>
            </w:r>
            <w:r>
              <w:rPr>
                <w:rFonts w:ascii="Times New Roman" w:eastAsia="Times New Roman" w:hAnsi="Times New Roman" w:cs="Times New Roman"/>
                <w:b/>
                <w:color w:val="000000" w:themeColor="text1"/>
                <w:szCs w:val="24"/>
                <w:lang w:eastAsia="ru-RU"/>
              </w:rPr>
              <w:t>3</w:t>
            </w:r>
            <w:r w:rsidR="00F97988">
              <w:rPr>
                <w:rFonts w:ascii="Times New Roman" w:eastAsia="Times New Roman" w:hAnsi="Times New Roman" w:cs="Times New Roman"/>
                <w:b/>
                <w:color w:val="000000" w:themeColor="text1"/>
                <w:szCs w:val="24"/>
                <w:lang w:val="en-US" w:eastAsia="ru-RU"/>
              </w:rPr>
              <w:t>.</w:t>
            </w:r>
            <w:r>
              <w:rPr>
                <w:rFonts w:ascii="Times New Roman" w:eastAsia="Times New Roman" w:hAnsi="Times New Roman" w:cs="Times New Roman"/>
                <w:b/>
                <w:color w:val="000000" w:themeColor="text1"/>
                <w:szCs w:val="24"/>
                <w:lang w:eastAsia="ru-RU"/>
              </w:rPr>
              <w:t>6</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B41C19" w:rsidRDefault="00F97988"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b/>
                <w:color w:val="000000" w:themeColor="text1"/>
                <w:szCs w:val="24"/>
                <w:lang w:eastAsia="ru-RU"/>
              </w:rPr>
              <w:t>55.</w:t>
            </w:r>
            <w:r w:rsidR="00B9662F" w:rsidRPr="00B41C19">
              <w:rPr>
                <w:rFonts w:ascii="Times New Roman" w:eastAsia="Times New Roman" w:hAnsi="Times New Roman"/>
                <w:b/>
                <w:color w:val="000000" w:themeColor="text1"/>
                <w:szCs w:val="24"/>
                <w:lang w:eastAsia="ru-RU"/>
              </w:rPr>
              <w:t>5</w:t>
            </w:r>
          </w:p>
        </w:tc>
      </w:tr>
      <w:tr w:rsidR="00B9662F" w:rsidRPr="00292B9D" w:rsidTr="00FC7BC5">
        <w:trPr>
          <w:trHeight w:val="384"/>
          <w:jc w:val="center"/>
        </w:trPr>
        <w:tc>
          <w:tcPr>
            <w:tcW w:w="1247" w:type="dxa"/>
            <w:tcBorders>
              <w:top w:val="nil"/>
              <w:left w:val="single" w:sz="4" w:space="0" w:color="FFFFFF" w:themeColor="background1"/>
              <w:bottom w:val="single" w:sz="4" w:space="0" w:color="auto"/>
              <w:right w:val="single" w:sz="4" w:space="0" w:color="FFFFFF" w:themeColor="background1"/>
            </w:tcBorders>
            <w:vAlign w:val="center"/>
          </w:tcPr>
          <w:p w:rsidR="00B9662F" w:rsidRPr="00BE2C39" w:rsidRDefault="00F97988"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val="en-US" w:eastAsia="ru-RU"/>
              </w:rPr>
              <w:t>187.</w:t>
            </w:r>
            <w:r w:rsidR="00B9662F">
              <w:rPr>
                <w:rFonts w:ascii="Times New Roman" w:eastAsia="Times New Roman" w:hAnsi="Times New Roman" w:cs="Times New Roman"/>
                <w:color w:val="000000" w:themeColor="text1"/>
                <w:szCs w:val="24"/>
                <w:lang w:eastAsia="ru-RU"/>
              </w:rPr>
              <w:t>7</w:t>
            </w:r>
          </w:p>
        </w:tc>
        <w:tc>
          <w:tcPr>
            <w:tcW w:w="1247" w:type="dxa"/>
            <w:tcBorders>
              <w:top w:val="nil"/>
              <w:left w:val="single" w:sz="4" w:space="0" w:color="FFFFFF" w:themeColor="background1"/>
              <w:bottom w:val="single" w:sz="4" w:space="0" w:color="auto"/>
              <w:right w:val="single" w:sz="4" w:space="0" w:color="FFFFFF" w:themeColor="background1"/>
            </w:tcBorders>
            <w:vAlign w:val="center"/>
          </w:tcPr>
          <w:p w:rsidR="00B9662F" w:rsidRPr="00B41C19" w:rsidRDefault="00B9662F" w:rsidP="00FC7BC5">
            <w:pPr>
              <w:spacing w:after="120" w:line="240" w:lineRule="auto"/>
              <w:jc w:val="right"/>
              <w:rPr>
                <w:rFonts w:ascii="Times New Roman" w:eastAsia="Times New Roman" w:hAnsi="Times New Roman" w:cs="Times New Roman"/>
                <w:color w:val="000000" w:themeColor="text1"/>
                <w:szCs w:val="24"/>
                <w:lang w:val="en-US" w:eastAsia="ru-RU"/>
              </w:rPr>
            </w:pPr>
            <w:r>
              <w:rPr>
                <w:rFonts w:ascii="Times New Roman" w:eastAsia="Times New Roman" w:hAnsi="Times New Roman" w:cs="Times New Roman"/>
                <w:color w:val="000000" w:themeColor="text1"/>
                <w:szCs w:val="24"/>
                <w:lang w:eastAsia="ru-RU"/>
              </w:rPr>
              <w:t>58</w:t>
            </w:r>
            <w:r w:rsidR="00F97988">
              <w:rPr>
                <w:rFonts w:ascii="Times New Roman" w:eastAsia="Times New Roman" w:hAnsi="Times New Roman" w:cs="Times New Roman"/>
                <w:color w:val="000000" w:themeColor="text1"/>
                <w:szCs w:val="24"/>
                <w:lang w:val="en-US" w:eastAsia="ru-RU"/>
              </w:rPr>
              <w:t>.</w:t>
            </w:r>
            <w:r w:rsidRPr="00B41C19">
              <w:rPr>
                <w:rFonts w:ascii="Times New Roman" w:eastAsia="Times New Roman" w:hAnsi="Times New Roman" w:cs="Times New Roman"/>
                <w:color w:val="000000" w:themeColor="text1"/>
                <w:szCs w:val="24"/>
                <w:lang w:val="en-US" w:eastAsia="ru-RU"/>
              </w:rPr>
              <w:t>3</w:t>
            </w:r>
          </w:p>
        </w:tc>
        <w:tc>
          <w:tcPr>
            <w:tcW w:w="4876" w:type="dxa"/>
            <w:tcBorders>
              <w:top w:val="nil"/>
              <w:left w:val="single" w:sz="4" w:space="0" w:color="FFFFFF" w:themeColor="background1"/>
              <w:bottom w:val="single" w:sz="4" w:space="0" w:color="auto"/>
              <w:right w:val="single" w:sz="4" w:space="0" w:color="FFFFFF" w:themeColor="background1"/>
            </w:tcBorders>
          </w:tcPr>
          <w:p w:rsidR="00B9662F" w:rsidRPr="00F97988" w:rsidRDefault="00F97988" w:rsidP="00FC7BC5">
            <w:pPr>
              <w:spacing w:after="120" w:line="240" w:lineRule="auto"/>
              <w:rPr>
                <w:rFonts w:ascii="Times New Roman" w:eastAsia="Times New Roman" w:hAnsi="Times New Roman" w:cs="Times New Roman"/>
                <w:szCs w:val="24"/>
                <w:lang w:val="en-US" w:eastAsia="ru-RU"/>
              </w:rPr>
            </w:pPr>
            <w:r w:rsidRPr="00F97988">
              <w:rPr>
                <w:rFonts w:ascii="Times New Roman" w:eastAsia="Times New Roman" w:hAnsi="Times New Roman"/>
                <w:szCs w:val="24"/>
                <w:lang w:val="en-US" w:eastAsia="ru-RU"/>
              </w:rPr>
              <w:t>Free cash flow before changes in working capital</w:t>
            </w:r>
          </w:p>
        </w:tc>
        <w:tc>
          <w:tcPr>
            <w:tcW w:w="1247" w:type="dxa"/>
            <w:tcBorders>
              <w:top w:val="nil"/>
              <w:left w:val="single" w:sz="4" w:space="0" w:color="FFFFFF" w:themeColor="background1"/>
              <w:bottom w:val="single" w:sz="4" w:space="0" w:color="auto"/>
              <w:right w:val="single" w:sz="4" w:space="0" w:color="FFFFFF" w:themeColor="background1"/>
            </w:tcBorders>
            <w:vAlign w:val="center"/>
          </w:tcPr>
          <w:p w:rsidR="00B9662F" w:rsidRPr="00BE2C39" w:rsidRDefault="00F97988"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val="en-US" w:eastAsia="ru-RU"/>
              </w:rPr>
              <w:t>187.</w:t>
            </w:r>
            <w:r w:rsidR="00B9662F">
              <w:rPr>
                <w:rFonts w:ascii="Times New Roman" w:eastAsia="Times New Roman" w:hAnsi="Times New Roman" w:cs="Times New Roman"/>
                <w:color w:val="000000" w:themeColor="text1"/>
                <w:szCs w:val="24"/>
                <w:lang w:eastAsia="ru-RU"/>
              </w:rPr>
              <w:t>7</w:t>
            </w:r>
          </w:p>
        </w:tc>
        <w:tc>
          <w:tcPr>
            <w:tcW w:w="1247" w:type="dxa"/>
            <w:tcBorders>
              <w:top w:val="nil"/>
              <w:left w:val="single" w:sz="4" w:space="0" w:color="FFFFFF" w:themeColor="background1"/>
              <w:bottom w:val="single" w:sz="4" w:space="0" w:color="auto"/>
              <w:right w:val="single" w:sz="4" w:space="0" w:color="FFFFFF" w:themeColor="background1"/>
            </w:tcBorders>
            <w:vAlign w:val="center"/>
          </w:tcPr>
          <w:p w:rsidR="00B9662F" w:rsidRPr="00C366AA" w:rsidRDefault="00B9662F" w:rsidP="00FC7BC5">
            <w:pPr>
              <w:spacing w:after="120" w:line="240" w:lineRule="auto"/>
              <w:jc w:val="right"/>
              <w:rPr>
                <w:rFonts w:ascii="Times New Roman" w:eastAsia="Times New Roman" w:hAnsi="Times New Roman" w:cs="Times New Roman"/>
                <w:color w:val="000000" w:themeColor="text1"/>
                <w:szCs w:val="24"/>
                <w:lang w:val="en-US" w:eastAsia="ru-RU"/>
              </w:rPr>
            </w:pPr>
            <w:r>
              <w:rPr>
                <w:rFonts w:ascii="Times New Roman" w:eastAsia="Times New Roman" w:hAnsi="Times New Roman"/>
                <w:color w:val="000000" w:themeColor="text1"/>
                <w:szCs w:val="24"/>
                <w:lang w:eastAsia="ru-RU"/>
              </w:rPr>
              <w:t>9</w:t>
            </w:r>
            <w:r w:rsidR="00F97988">
              <w:rPr>
                <w:rFonts w:ascii="Times New Roman" w:eastAsia="Times New Roman" w:hAnsi="Times New Roman"/>
                <w:color w:val="000000" w:themeColor="text1"/>
                <w:szCs w:val="24"/>
                <w:lang w:eastAsia="ru-RU"/>
              </w:rPr>
              <w:t>.</w:t>
            </w:r>
            <w:r>
              <w:rPr>
                <w:rFonts w:ascii="Times New Roman" w:eastAsia="Times New Roman" w:hAnsi="Times New Roman"/>
                <w:color w:val="000000" w:themeColor="text1"/>
                <w:szCs w:val="24"/>
                <w:lang w:eastAsia="ru-RU"/>
              </w:rPr>
              <w:t>2</w:t>
            </w:r>
            <w:r>
              <w:rPr>
                <w:rFonts w:ascii="Times New Roman" w:eastAsia="Times New Roman" w:hAnsi="Times New Roman"/>
                <w:color w:val="000000" w:themeColor="text1"/>
                <w:szCs w:val="24"/>
                <w:lang w:val="en-US" w:eastAsia="ru-RU"/>
              </w:rPr>
              <w:t xml:space="preserve"> </w:t>
            </w:r>
          </w:p>
        </w:tc>
      </w:tr>
    </w:tbl>
    <w:p w:rsidR="00B9662F" w:rsidRDefault="00B9662F" w:rsidP="00B9662F">
      <w:pPr>
        <w:snapToGrid w:val="0"/>
        <w:spacing w:line="240" w:lineRule="auto"/>
        <w:jc w:val="both"/>
        <w:rPr>
          <w:rFonts w:ascii="Times New Roman" w:hAnsi="Times New Roman"/>
          <w:i/>
          <w:sz w:val="28"/>
          <w:szCs w:val="28"/>
        </w:rPr>
      </w:pPr>
    </w:p>
    <w:p w:rsidR="00B9662F" w:rsidRDefault="00B9662F" w:rsidP="00B9662F">
      <w:pPr>
        <w:snapToGrid w:val="0"/>
        <w:spacing w:line="240" w:lineRule="auto"/>
        <w:jc w:val="both"/>
        <w:rPr>
          <w:rFonts w:ascii="Times New Roman" w:hAnsi="Times New Roman"/>
          <w:i/>
          <w:sz w:val="28"/>
          <w:szCs w:val="28"/>
        </w:rPr>
      </w:pPr>
      <w:r w:rsidRPr="005A7926">
        <w:rPr>
          <w:rFonts w:ascii="Times New Roman" w:hAnsi="Times New Roman"/>
          <w:i/>
          <w:sz w:val="28"/>
          <w:szCs w:val="28"/>
        </w:rPr>
        <w:t>COVID-19</w:t>
      </w:r>
    </w:p>
    <w:p w:rsidR="00F97988" w:rsidRPr="00F97988" w:rsidRDefault="00F97988" w:rsidP="00B9662F">
      <w:pPr>
        <w:snapToGrid w:val="0"/>
        <w:spacing w:line="240" w:lineRule="auto"/>
        <w:jc w:val="both"/>
        <w:rPr>
          <w:rFonts w:ascii="Times New Roman" w:hAnsi="Times New Roman"/>
          <w:sz w:val="28"/>
          <w:szCs w:val="28"/>
          <w:lang w:val="en-US"/>
        </w:rPr>
      </w:pPr>
      <w:r w:rsidRPr="00F97988">
        <w:rPr>
          <w:rFonts w:ascii="Times New Roman" w:hAnsi="Times New Roman"/>
          <w:sz w:val="28"/>
          <w:szCs w:val="28"/>
          <w:lang w:val="en-US"/>
        </w:rPr>
        <w:t xml:space="preserve">Since the </w:t>
      </w:r>
      <w:r w:rsidR="00746E7F">
        <w:rPr>
          <w:rFonts w:ascii="Times New Roman" w:hAnsi="Times New Roman"/>
          <w:sz w:val="28"/>
          <w:szCs w:val="28"/>
          <w:lang w:val="en-US"/>
        </w:rPr>
        <w:t>beginning</w:t>
      </w:r>
      <w:r w:rsidRPr="00F97988">
        <w:rPr>
          <w:rFonts w:ascii="Times New Roman" w:hAnsi="Times New Roman"/>
          <w:sz w:val="28"/>
          <w:szCs w:val="28"/>
          <w:lang w:val="en-US"/>
        </w:rPr>
        <w:t xml:space="preserve"> of</w:t>
      </w:r>
      <w:r w:rsidR="00746E7F">
        <w:rPr>
          <w:rFonts w:ascii="Times New Roman" w:hAnsi="Times New Roman"/>
          <w:sz w:val="28"/>
          <w:szCs w:val="28"/>
          <w:lang w:val="en-US"/>
        </w:rPr>
        <w:t xml:space="preserve"> the COVID-19 pandemic</w:t>
      </w:r>
      <w:r w:rsidRPr="00F97988">
        <w:rPr>
          <w:rFonts w:ascii="Times New Roman" w:hAnsi="Times New Roman"/>
          <w:sz w:val="28"/>
          <w:szCs w:val="28"/>
          <w:lang w:val="en-US"/>
        </w:rPr>
        <w:t xml:space="preserve"> LUKOIL has been undertaking necessary measures to rule out the direct impact of the pandemic on the Group's operating activity, prioritizing proper protection of its employees, </w:t>
      </w:r>
      <w:proofErr w:type="gramStart"/>
      <w:r w:rsidRPr="00F97988">
        <w:rPr>
          <w:rFonts w:ascii="Times New Roman" w:hAnsi="Times New Roman"/>
          <w:sz w:val="28"/>
          <w:szCs w:val="28"/>
          <w:lang w:val="en-US"/>
        </w:rPr>
        <w:t>contractors</w:t>
      </w:r>
      <w:proofErr w:type="gramEnd"/>
      <w:r w:rsidRPr="00F97988">
        <w:rPr>
          <w:rFonts w:ascii="Times New Roman" w:hAnsi="Times New Roman"/>
          <w:sz w:val="28"/>
          <w:szCs w:val="28"/>
          <w:lang w:val="en-US"/>
        </w:rPr>
        <w:t xml:space="preserve"> personnel and clients, as well as continuity of production processes.</w:t>
      </w:r>
    </w:p>
    <w:p w:rsidR="00B144F4" w:rsidRDefault="00F97988" w:rsidP="00B9662F">
      <w:pPr>
        <w:snapToGrid w:val="0"/>
        <w:spacing w:line="240" w:lineRule="auto"/>
        <w:jc w:val="both"/>
        <w:rPr>
          <w:rFonts w:ascii="Times New Roman" w:hAnsi="Times New Roman"/>
          <w:sz w:val="28"/>
          <w:szCs w:val="28"/>
          <w:lang w:val="en-US"/>
        </w:rPr>
      </w:pPr>
      <w:r w:rsidRPr="00F97988">
        <w:rPr>
          <w:rFonts w:ascii="Times New Roman" w:hAnsi="Times New Roman"/>
          <w:sz w:val="28"/>
          <w:szCs w:val="28"/>
          <w:lang w:val="en-US"/>
        </w:rPr>
        <w:t xml:space="preserve">Weaker global economic activity amid the pandemic followed by an unprecedented slump in hydrocarbon demand and prices had a </w:t>
      </w:r>
      <w:r>
        <w:rPr>
          <w:rFonts w:ascii="Times New Roman" w:hAnsi="Times New Roman"/>
          <w:sz w:val="28"/>
          <w:szCs w:val="28"/>
          <w:lang w:val="en-US"/>
        </w:rPr>
        <w:t xml:space="preserve">significant </w:t>
      </w:r>
      <w:r w:rsidRPr="00F97988">
        <w:rPr>
          <w:rFonts w:ascii="Times New Roman" w:hAnsi="Times New Roman"/>
          <w:sz w:val="28"/>
          <w:szCs w:val="28"/>
          <w:lang w:val="en-US"/>
        </w:rPr>
        <w:t>negative impact on operational and financial performance of the Group in 2020 with persisting negative effect</w:t>
      </w:r>
      <w:r w:rsidR="00746E7F">
        <w:rPr>
          <w:rFonts w:ascii="Times New Roman" w:hAnsi="Times New Roman"/>
          <w:sz w:val="28"/>
          <w:szCs w:val="28"/>
          <w:lang w:val="en-US"/>
        </w:rPr>
        <w:t>s</w:t>
      </w:r>
      <w:r w:rsidRPr="00F97988">
        <w:rPr>
          <w:rFonts w:ascii="Times New Roman" w:hAnsi="Times New Roman"/>
          <w:sz w:val="28"/>
          <w:szCs w:val="28"/>
          <w:lang w:val="en-US"/>
        </w:rPr>
        <w:t xml:space="preserve"> in the first quarter of 2021.</w:t>
      </w:r>
    </w:p>
    <w:p w:rsidR="00F97988" w:rsidRPr="00F97988" w:rsidRDefault="00F97988" w:rsidP="00B9662F">
      <w:pPr>
        <w:snapToGrid w:val="0"/>
        <w:spacing w:line="240" w:lineRule="auto"/>
        <w:jc w:val="both"/>
        <w:rPr>
          <w:rFonts w:ascii="Times New Roman" w:hAnsi="Times New Roman"/>
          <w:sz w:val="28"/>
          <w:szCs w:val="28"/>
          <w:lang w:val="en-US"/>
        </w:rPr>
      </w:pPr>
      <w:r w:rsidRPr="00F97988">
        <w:rPr>
          <w:rFonts w:ascii="Times New Roman" w:hAnsi="Times New Roman"/>
          <w:sz w:val="28"/>
          <w:szCs w:val="28"/>
          <w:lang w:val="en-US"/>
        </w:rPr>
        <w:t xml:space="preserve">The consequences of the pandemic for the Company's operating results include: crude oil production cut at the Company's fields in Russia and certain international projects due to </w:t>
      </w:r>
      <w:r w:rsidR="0074021A">
        <w:rPr>
          <w:rFonts w:ascii="Times New Roman" w:hAnsi="Times New Roman"/>
          <w:sz w:val="28"/>
          <w:szCs w:val="28"/>
          <w:lang w:val="en-US"/>
        </w:rPr>
        <w:t xml:space="preserve">the </w:t>
      </w:r>
      <w:r w:rsidRPr="00F97988">
        <w:rPr>
          <w:rFonts w:ascii="Times New Roman" w:hAnsi="Times New Roman"/>
          <w:sz w:val="28"/>
          <w:szCs w:val="28"/>
          <w:lang w:val="en-US"/>
        </w:rPr>
        <w:t>OPEC+ agreement; gas production cut in Uzbekistan</w:t>
      </w:r>
      <w:r>
        <w:rPr>
          <w:rFonts w:ascii="Times New Roman" w:hAnsi="Times New Roman"/>
          <w:sz w:val="28"/>
          <w:szCs w:val="28"/>
          <w:lang w:val="en-US"/>
        </w:rPr>
        <w:t xml:space="preserve"> in 2020</w:t>
      </w:r>
      <w:r w:rsidRPr="00F97988">
        <w:rPr>
          <w:rFonts w:ascii="Times New Roman" w:hAnsi="Times New Roman"/>
          <w:sz w:val="28"/>
          <w:szCs w:val="28"/>
          <w:lang w:val="en-US"/>
        </w:rPr>
        <w:t xml:space="preserve"> due to temporarily lower demand for Uzbek gas from China; reduction of refinery throughput volumes due to lower refining margins </w:t>
      </w:r>
      <w:r>
        <w:rPr>
          <w:rFonts w:ascii="Times New Roman" w:hAnsi="Times New Roman"/>
          <w:sz w:val="28"/>
          <w:szCs w:val="28"/>
          <w:lang w:val="en-US"/>
        </w:rPr>
        <w:t>and</w:t>
      </w:r>
      <w:r w:rsidRPr="00F97988">
        <w:rPr>
          <w:rFonts w:ascii="Times New Roman" w:hAnsi="Times New Roman"/>
          <w:sz w:val="28"/>
          <w:szCs w:val="28"/>
          <w:lang w:val="en-US"/>
        </w:rPr>
        <w:t xml:space="preserve"> lower demand for </w:t>
      </w:r>
      <w:r w:rsidR="00746E7F">
        <w:rPr>
          <w:rFonts w:ascii="Times New Roman" w:hAnsi="Times New Roman"/>
          <w:sz w:val="28"/>
          <w:szCs w:val="28"/>
          <w:lang w:val="en-US"/>
        </w:rPr>
        <w:t>certain</w:t>
      </w:r>
      <w:r>
        <w:rPr>
          <w:rFonts w:ascii="Times New Roman" w:hAnsi="Times New Roman"/>
          <w:sz w:val="28"/>
          <w:szCs w:val="28"/>
          <w:lang w:val="en-US"/>
        </w:rPr>
        <w:t xml:space="preserve"> </w:t>
      </w:r>
      <w:r w:rsidRPr="00F97988">
        <w:rPr>
          <w:rFonts w:ascii="Times New Roman" w:hAnsi="Times New Roman"/>
          <w:sz w:val="28"/>
          <w:szCs w:val="28"/>
          <w:lang w:val="en-US"/>
        </w:rPr>
        <w:t>refined products; and lower sales volumes of motor fuels through filling stations because of lower demand.</w:t>
      </w:r>
    </w:p>
    <w:p w:rsidR="004324DA" w:rsidRPr="004324DA" w:rsidRDefault="004324DA" w:rsidP="00B9662F">
      <w:pPr>
        <w:snapToGrid w:val="0"/>
        <w:spacing w:line="240" w:lineRule="auto"/>
        <w:jc w:val="both"/>
        <w:rPr>
          <w:rFonts w:ascii="Times New Roman" w:hAnsi="Times New Roman"/>
          <w:sz w:val="28"/>
          <w:szCs w:val="28"/>
          <w:lang w:val="en-US"/>
        </w:rPr>
      </w:pPr>
      <w:r w:rsidRPr="004324DA">
        <w:rPr>
          <w:rFonts w:ascii="Times New Roman" w:hAnsi="Times New Roman"/>
          <w:sz w:val="28"/>
          <w:szCs w:val="28"/>
          <w:lang w:val="en-US"/>
        </w:rPr>
        <w:t xml:space="preserve">The main impact of the pandemic on the Company's financial performance is attributed to </w:t>
      </w:r>
      <w:r>
        <w:rPr>
          <w:rFonts w:ascii="Times New Roman" w:hAnsi="Times New Roman"/>
          <w:sz w:val="28"/>
          <w:szCs w:val="28"/>
          <w:lang w:val="en-US"/>
        </w:rPr>
        <w:t>volatility</w:t>
      </w:r>
      <w:r w:rsidRPr="004324DA">
        <w:rPr>
          <w:rFonts w:ascii="Times New Roman" w:hAnsi="Times New Roman"/>
          <w:sz w:val="28"/>
          <w:szCs w:val="28"/>
          <w:lang w:val="en-US"/>
        </w:rPr>
        <w:t xml:space="preserve"> in prices for </w:t>
      </w:r>
      <w:r w:rsidR="00386499">
        <w:rPr>
          <w:rFonts w:ascii="Times New Roman" w:hAnsi="Times New Roman"/>
          <w:sz w:val="28"/>
          <w:szCs w:val="28"/>
          <w:lang w:val="en-US"/>
        </w:rPr>
        <w:t xml:space="preserve">crude </w:t>
      </w:r>
      <w:r w:rsidRPr="004324DA">
        <w:rPr>
          <w:rFonts w:ascii="Times New Roman" w:hAnsi="Times New Roman"/>
          <w:sz w:val="28"/>
          <w:szCs w:val="28"/>
          <w:lang w:val="en-US"/>
        </w:rPr>
        <w:t>oil and refined products as well as lower production volumes.</w:t>
      </w:r>
    </w:p>
    <w:p w:rsidR="0074021A" w:rsidRDefault="0074021A" w:rsidP="00B9662F">
      <w:pPr>
        <w:snapToGrid w:val="0"/>
        <w:spacing w:line="240" w:lineRule="auto"/>
        <w:jc w:val="both"/>
        <w:rPr>
          <w:rFonts w:ascii="Times New Roman" w:hAnsi="Times New Roman"/>
          <w:i/>
          <w:sz w:val="28"/>
          <w:szCs w:val="28"/>
          <w:lang w:val="en-US"/>
        </w:rPr>
      </w:pPr>
    </w:p>
    <w:p w:rsidR="00B9662F" w:rsidRPr="008C1697" w:rsidRDefault="004324DA" w:rsidP="00B9662F">
      <w:pPr>
        <w:snapToGrid w:val="0"/>
        <w:spacing w:line="240" w:lineRule="auto"/>
        <w:jc w:val="both"/>
        <w:rPr>
          <w:rFonts w:ascii="Times New Roman" w:hAnsi="Times New Roman"/>
          <w:sz w:val="28"/>
          <w:szCs w:val="28"/>
          <w:lang w:val="en-US"/>
        </w:rPr>
      </w:pPr>
      <w:r w:rsidRPr="008C1697">
        <w:rPr>
          <w:rFonts w:ascii="Times New Roman" w:hAnsi="Times New Roman"/>
          <w:i/>
          <w:sz w:val="28"/>
          <w:szCs w:val="28"/>
          <w:lang w:val="en-US"/>
        </w:rPr>
        <w:t>OPEC+ agreement</w:t>
      </w:r>
    </w:p>
    <w:p w:rsidR="004324DA" w:rsidRPr="004324DA" w:rsidRDefault="004324DA" w:rsidP="00B9662F">
      <w:pPr>
        <w:snapToGrid w:val="0"/>
        <w:spacing w:line="240" w:lineRule="auto"/>
        <w:jc w:val="both"/>
        <w:rPr>
          <w:rFonts w:ascii="Times New Roman" w:hAnsi="Times New Roman"/>
          <w:sz w:val="28"/>
          <w:szCs w:val="28"/>
          <w:lang w:val="en-US"/>
        </w:rPr>
      </w:pPr>
      <w:r w:rsidRPr="004324DA">
        <w:rPr>
          <w:rFonts w:ascii="Times New Roman" w:hAnsi="Times New Roman"/>
          <w:sz w:val="28"/>
          <w:szCs w:val="28"/>
          <w:lang w:val="en-US"/>
        </w:rPr>
        <w:t>On April 12, 2020 a number of oil-producing countries, including OPEC members and Russia, entered into an agreeme</w:t>
      </w:r>
      <w:r w:rsidR="00746E7F">
        <w:rPr>
          <w:rFonts w:ascii="Times New Roman" w:hAnsi="Times New Roman"/>
          <w:sz w:val="28"/>
          <w:szCs w:val="28"/>
          <w:lang w:val="en-US"/>
        </w:rPr>
        <w:t>nt valid until the end of April</w:t>
      </w:r>
      <w:r w:rsidRPr="004324DA">
        <w:rPr>
          <w:rFonts w:ascii="Times New Roman" w:hAnsi="Times New Roman"/>
          <w:sz w:val="28"/>
          <w:szCs w:val="28"/>
          <w:lang w:val="en-US"/>
        </w:rPr>
        <w:t xml:space="preserve"> 2022</w:t>
      </w:r>
      <w:r w:rsidR="00746E7F" w:rsidRPr="00746E7F">
        <w:rPr>
          <w:rFonts w:ascii="Times New Roman" w:hAnsi="Times New Roman"/>
          <w:sz w:val="28"/>
          <w:szCs w:val="28"/>
          <w:lang w:val="en-US"/>
        </w:rPr>
        <w:t>,</w:t>
      </w:r>
      <w:r w:rsidRPr="004324DA">
        <w:rPr>
          <w:rFonts w:ascii="Times New Roman" w:hAnsi="Times New Roman"/>
          <w:sz w:val="28"/>
          <w:szCs w:val="28"/>
          <w:lang w:val="en-US"/>
        </w:rPr>
        <w:t xml:space="preserve"> that aims to reduce their collective crude oil output by 9.7 million barrels per day starting from May 1, 2020 with subsequent gradual increase. Due to the agreement, starting from May 1, 2020 the Company cut its crude oil production in Russia by approximately 310 thousand barrels per day as compared to the average daily production in the first quarter of 2020. </w:t>
      </w:r>
      <w:r w:rsidR="00746E7F">
        <w:rPr>
          <w:rFonts w:ascii="Times New Roman" w:hAnsi="Times New Roman"/>
          <w:sz w:val="28"/>
          <w:szCs w:val="28"/>
          <w:lang w:val="en-US"/>
        </w:rPr>
        <w:t xml:space="preserve">Consequently, </w:t>
      </w:r>
      <w:r w:rsidRPr="004324DA">
        <w:rPr>
          <w:rFonts w:ascii="Times New Roman" w:hAnsi="Times New Roman"/>
          <w:sz w:val="28"/>
          <w:szCs w:val="28"/>
          <w:lang w:val="en-US"/>
        </w:rPr>
        <w:t xml:space="preserve">the Company </w:t>
      </w:r>
      <w:r w:rsidR="008C1697">
        <w:rPr>
          <w:rFonts w:ascii="Times New Roman" w:hAnsi="Times New Roman"/>
          <w:sz w:val="28"/>
          <w:szCs w:val="28"/>
          <w:lang w:val="en-US"/>
        </w:rPr>
        <w:t xml:space="preserve">has </w:t>
      </w:r>
      <w:r w:rsidR="00F7336A">
        <w:rPr>
          <w:rFonts w:ascii="Times New Roman" w:hAnsi="Times New Roman"/>
          <w:sz w:val="28"/>
          <w:szCs w:val="28"/>
          <w:lang w:val="en-US"/>
        </w:rPr>
        <w:t xml:space="preserve">been </w:t>
      </w:r>
      <w:r w:rsidRPr="004324DA">
        <w:rPr>
          <w:rFonts w:ascii="Times New Roman" w:hAnsi="Times New Roman"/>
          <w:sz w:val="28"/>
          <w:szCs w:val="28"/>
          <w:lang w:val="en-US"/>
        </w:rPr>
        <w:t>gradually increas</w:t>
      </w:r>
      <w:r w:rsidR="00F7336A">
        <w:rPr>
          <w:rFonts w:ascii="Times New Roman" w:hAnsi="Times New Roman"/>
          <w:sz w:val="28"/>
          <w:szCs w:val="28"/>
          <w:lang w:val="en-US"/>
        </w:rPr>
        <w:t>ing</w:t>
      </w:r>
      <w:r w:rsidRPr="004324DA">
        <w:rPr>
          <w:rFonts w:ascii="Times New Roman" w:hAnsi="Times New Roman"/>
          <w:sz w:val="28"/>
          <w:szCs w:val="28"/>
          <w:lang w:val="en-US"/>
        </w:rPr>
        <w:t xml:space="preserve"> crude oil production in Russia</w:t>
      </w:r>
      <w:r w:rsidR="008C1697">
        <w:rPr>
          <w:rFonts w:ascii="Times New Roman" w:hAnsi="Times New Roman"/>
          <w:sz w:val="28"/>
          <w:szCs w:val="28"/>
          <w:lang w:val="en-US"/>
        </w:rPr>
        <w:t xml:space="preserve">. As a result, in the first quarter of 2021 the Group’s </w:t>
      </w:r>
      <w:r w:rsidR="008C1697" w:rsidRPr="004324DA">
        <w:rPr>
          <w:rFonts w:ascii="Times New Roman" w:hAnsi="Times New Roman"/>
          <w:sz w:val="28"/>
          <w:szCs w:val="28"/>
          <w:lang w:val="en-US"/>
        </w:rPr>
        <w:t xml:space="preserve">crude </w:t>
      </w:r>
      <w:r w:rsidR="008C1697">
        <w:rPr>
          <w:rFonts w:ascii="Times New Roman" w:hAnsi="Times New Roman"/>
          <w:sz w:val="28"/>
          <w:szCs w:val="28"/>
          <w:lang w:val="en-US"/>
        </w:rPr>
        <w:t>oil production in Russia was</w:t>
      </w:r>
      <w:r w:rsidRPr="004324DA">
        <w:rPr>
          <w:rFonts w:ascii="Times New Roman" w:hAnsi="Times New Roman"/>
          <w:sz w:val="28"/>
          <w:szCs w:val="28"/>
          <w:lang w:val="en-US"/>
        </w:rPr>
        <w:t xml:space="preserve"> approximately 1</w:t>
      </w:r>
      <w:r w:rsidR="008C1697">
        <w:rPr>
          <w:rFonts w:ascii="Times New Roman" w:hAnsi="Times New Roman"/>
          <w:sz w:val="28"/>
          <w:szCs w:val="28"/>
          <w:lang w:val="en-US"/>
        </w:rPr>
        <w:t>3</w:t>
      </w:r>
      <w:r w:rsidRPr="004324DA">
        <w:rPr>
          <w:rFonts w:ascii="Times New Roman" w:hAnsi="Times New Roman"/>
          <w:sz w:val="28"/>
          <w:szCs w:val="28"/>
          <w:lang w:val="en-US"/>
        </w:rPr>
        <w:t xml:space="preserve">0 thousand barrels per day </w:t>
      </w:r>
      <w:r w:rsidR="008C1697">
        <w:rPr>
          <w:rFonts w:ascii="Times New Roman" w:hAnsi="Times New Roman"/>
          <w:sz w:val="28"/>
          <w:szCs w:val="28"/>
          <w:lang w:val="en-US"/>
        </w:rPr>
        <w:t xml:space="preserve">higher </w:t>
      </w:r>
      <w:r w:rsidRPr="004324DA">
        <w:rPr>
          <w:rFonts w:ascii="Times New Roman" w:hAnsi="Times New Roman"/>
          <w:sz w:val="28"/>
          <w:szCs w:val="28"/>
          <w:lang w:val="en-US"/>
        </w:rPr>
        <w:t>as comp</w:t>
      </w:r>
      <w:r w:rsidR="00F7336A">
        <w:rPr>
          <w:rFonts w:ascii="Times New Roman" w:hAnsi="Times New Roman"/>
          <w:sz w:val="28"/>
          <w:szCs w:val="28"/>
          <w:lang w:val="en-US"/>
        </w:rPr>
        <w:t>ared to the level of May</w:t>
      </w:r>
      <w:r w:rsidR="008C1697">
        <w:rPr>
          <w:rFonts w:ascii="Times New Roman" w:hAnsi="Times New Roman"/>
          <w:sz w:val="28"/>
          <w:szCs w:val="28"/>
          <w:lang w:val="en-US"/>
        </w:rPr>
        <w:t xml:space="preserve"> 2020.</w:t>
      </w:r>
    </w:p>
    <w:p w:rsidR="004324DA" w:rsidRDefault="004324DA" w:rsidP="00B9662F">
      <w:pPr>
        <w:snapToGrid w:val="0"/>
        <w:spacing w:line="240" w:lineRule="auto"/>
        <w:jc w:val="both"/>
        <w:rPr>
          <w:rFonts w:ascii="Times New Roman" w:hAnsi="Times New Roman"/>
          <w:sz w:val="28"/>
          <w:szCs w:val="28"/>
          <w:lang w:val="en-US"/>
        </w:rPr>
      </w:pPr>
      <w:r w:rsidRPr="004324DA">
        <w:rPr>
          <w:rFonts w:ascii="Times New Roman" w:hAnsi="Times New Roman"/>
          <w:sz w:val="28"/>
          <w:szCs w:val="28"/>
          <w:lang w:val="en-US"/>
        </w:rPr>
        <w:t xml:space="preserve">Crude oil production was also reduced at certain international projects. In particular, production at the West Qurna-2 project in Iraq </w:t>
      </w:r>
      <w:r w:rsidR="008C1697">
        <w:rPr>
          <w:rFonts w:ascii="Times New Roman" w:hAnsi="Times New Roman"/>
          <w:sz w:val="28"/>
          <w:szCs w:val="28"/>
          <w:lang w:val="en-US"/>
        </w:rPr>
        <w:t>in the first quarter of 2021</w:t>
      </w:r>
      <w:r w:rsidRPr="004324DA">
        <w:rPr>
          <w:rFonts w:ascii="Times New Roman" w:hAnsi="Times New Roman"/>
          <w:sz w:val="28"/>
          <w:szCs w:val="28"/>
          <w:lang w:val="en-US"/>
        </w:rPr>
        <w:t xml:space="preserve"> was</w:t>
      </w:r>
      <w:r w:rsidR="008C1697" w:rsidRPr="008C1697">
        <w:rPr>
          <w:rFonts w:ascii="Times New Roman" w:hAnsi="Times New Roman"/>
          <w:sz w:val="28"/>
          <w:szCs w:val="28"/>
          <w:lang w:val="en-US"/>
        </w:rPr>
        <w:t xml:space="preserve"> </w:t>
      </w:r>
      <w:r w:rsidR="008C1697" w:rsidRPr="004324DA">
        <w:rPr>
          <w:rFonts w:ascii="Times New Roman" w:hAnsi="Times New Roman"/>
          <w:sz w:val="28"/>
          <w:szCs w:val="28"/>
          <w:lang w:val="en-US"/>
        </w:rPr>
        <w:t>approximately</w:t>
      </w:r>
      <w:r w:rsidRPr="004324DA">
        <w:rPr>
          <w:rFonts w:ascii="Times New Roman" w:hAnsi="Times New Roman"/>
          <w:sz w:val="28"/>
          <w:szCs w:val="28"/>
          <w:lang w:val="en-US"/>
        </w:rPr>
        <w:t xml:space="preserve"> 90 thousand barrels per day lower than the project capacity.</w:t>
      </w:r>
    </w:p>
    <w:p w:rsidR="004324DA" w:rsidRPr="004324DA" w:rsidRDefault="004324DA" w:rsidP="00B9662F">
      <w:pPr>
        <w:snapToGrid w:val="0"/>
        <w:spacing w:line="240" w:lineRule="auto"/>
        <w:jc w:val="both"/>
        <w:rPr>
          <w:rFonts w:ascii="Times New Roman" w:hAnsi="Times New Roman"/>
          <w:sz w:val="28"/>
          <w:szCs w:val="28"/>
          <w:lang w:val="en-US"/>
        </w:rPr>
      </w:pPr>
    </w:p>
    <w:p w:rsidR="00B9662F" w:rsidRPr="00640226" w:rsidRDefault="005278FE" w:rsidP="00B9662F">
      <w:pPr>
        <w:snapToGrid w:val="0"/>
        <w:spacing w:line="240" w:lineRule="auto"/>
        <w:jc w:val="both"/>
        <w:rPr>
          <w:rFonts w:ascii="Times New Roman" w:hAnsi="Times New Roman"/>
          <w:i/>
          <w:sz w:val="28"/>
          <w:szCs w:val="28"/>
          <w:lang w:val="en-US"/>
        </w:rPr>
      </w:pPr>
      <w:r w:rsidRPr="00640226">
        <w:rPr>
          <w:rFonts w:ascii="Times New Roman" w:hAnsi="Times New Roman"/>
          <w:i/>
          <w:sz w:val="28"/>
          <w:szCs w:val="28"/>
          <w:lang w:val="en-US"/>
        </w:rPr>
        <w:t>Sales</w:t>
      </w:r>
    </w:p>
    <w:p w:rsidR="005278FE" w:rsidRPr="005278FE" w:rsidRDefault="005278FE" w:rsidP="00B9662F">
      <w:pPr>
        <w:snapToGrid w:val="0"/>
        <w:spacing w:line="240" w:lineRule="auto"/>
        <w:jc w:val="both"/>
        <w:rPr>
          <w:rFonts w:ascii="Times New Roman" w:hAnsi="Times New Roman"/>
          <w:sz w:val="28"/>
          <w:szCs w:val="28"/>
          <w:lang w:val="en-US"/>
        </w:rPr>
      </w:pPr>
      <w:r w:rsidRPr="005278FE">
        <w:rPr>
          <w:rFonts w:ascii="Times New Roman" w:hAnsi="Times New Roman"/>
          <w:sz w:val="28"/>
          <w:szCs w:val="28"/>
          <w:lang w:val="en-US"/>
        </w:rPr>
        <w:t>In the first quarter of 202</w:t>
      </w:r>
      <w:r>
        <w:rPr>
          <w:rFonts w:ascii="Times New Roman" w:hAnsi="Times New Roman"/>
          <w:sz w:val="28"/>
          <w:szCs w:val="28"/>
          <w:lang w:val="en-US"/>
        </w:rPr>
        <w:t>1</w:t>
      </w:r>
      <w:r w:rsidRPr="005278FE">
        <w:rPr>
          <w:rFonts w:ascii="Times New Roman" w:hAnsi="Times New Roman"/>
          <w:sz w:val="28"/>
          <w:szCs w:val="28"/>
          <w:lang w:val="en-US"/>
        </w:rPr>
        <w:t>, our sales amounted to RUB 1,</w:t>
      </w:r>
      <w:r>
        <w:rPr>
          <w:rFonts w:ascii="Times New Roman" w:hAnsi="Times New Roman"/>
          <w:sz w:val="28"/>
          <w:szCs w:val="28"/>
          <w:lang w:val="en-US"/>
        </w:rPr>
        <w:t>876.5</w:t>
      </w:r>
      <w:r w:rsidRPr="005278FE">
        <w:rPr>
          <w:rFonts w:ascii="Times New Roman" w:hAnsi="Times New Roman"/>
          <w:sz w:val="28"/>
          <w:szCs w:val="28"/>
          <w:lang w:val="en-US"/>
        </w:rPr>
        <w:t xml:space="preserve"> bln,</w:t>
      </w:r>
      <w:r>
        <w:rPr>
          <w:rFonts w:ascii="Times New Roman" w:hAnsi="Times New Roman"/>
          <w:sz w:val="28"/>
          <w:szCs w:val="28"/>
          <w:lang w:val="en-US"/>
        </w:rPr>
        <w:t xml:space="preserve"> up 22.6% </w:t>
      </w:r>
      <w:r w:rsidRPr="005278FE">
        <w:rPr>
          <w:rFonts w:ascii="Times New Roman" w:hAnsi="Times New Roman"/>
          <w:sz w:val="28"/>
          <w:szCs w:val="28"/>
          <w:lang w:val="en-US"/>
        </w:rPr>
        <w:t>quarter-on-quarter.</w:t>
      </w:r>
      <w:r>
        <w:rPr>
          <w:rFonts w:ascii="Times New Roman" w:hAnsi="Times New Roman"/>
          <w:sz w:val="28"/>
          <w:szCs w:val="28"/>
          <w:lang w:val="en-US"/>
        </w:rPr>
        <w:t xml:space="preserve"> </w:t>
      </w:r>
      <w:r w:rsidRPr="005278FE">
        <w:rPr>
          <w:rFonts w:ascii="Times New Roman" w:hAnsi="Times New Roman"/>
          <w:sz w:val="28"/>
          <w:szCs w:val="28"/>
          <w:lang w:val="en-US"/>
        </w:rPr>
        <w:t>The growth wa</w:t>
      </w:r>
      <w:r>
        <w:rPr>
          <w:rFonts w:ascii="Times New Roman" w:hAnsi="Times New Roman"/>
          <w:sz w:val="28"/>
          <w:szCs w:val="28"/>
          <w:lang w:val="en-US"/>
        </w:rPr>
        <w:t>s mainly attributable to higher</w:t>
      </w:r>
      <w:r w:rsidR="00F7336A">
        <w:rPr>
          <w:rFonts w:ascii="Times New Roman" w:hAnsi="Times New Roman"/>
          <w:sz w:val="28"/>
          <w:szCs w:val="28"/>
          <w:lang w:val="en-US"/>
        </w:rPr>
        <w:t xml:space="preserve"> crude oil and</w:t>
      </w:r>
      <w:r>
        <w:rPr>
          <w:rFonts w:ascii="Times New Roman" w:hAnsi="Times New Roman"/>
          <w:sz w:val="28"/>
          <w:szCs w:val="28"/>
          <w:lang w:val="en-US"/>
        </w:rPr>
        <w:t xml:space="preserve"> </w:t>
      </w:r>
      <w:r w:rsidR="00F7336A">
        <w:rPr>
          <w:rFonts w:ascii="Times New Roman" w:hAnsi="Times New Roman"/>
          <w:sz w:val="28"/>
          <w:szCs w:val="28"/>
          <w:lang w:val="en-US"/>
        </w:rPr>
        <w:t>refined products</w:t>
      </w:r>
      <w:r w:rsidR="00F7336A" w:rsidRPr="005278FE">
        <w:rPr>
          <w:rFonts w:ascii="Times New Roman" w:hAnsi="Times New Roman"/>
          <w:sz w:val="28"/>
          <w:szCs w:val="28"/>
          <w:lang w:val="en-US"/>
        </w:rPr>
        <w:t xml:space="preserve"> </w:t>
      </w:r>
      <w:r w:rsidRPr="005278FE">
        <w:rPr>
          <w:rFonts w:ascii="Times New Roman" w:hAnsi="Times New Roman"/>
          <w:sz w:val="28"/>
          <w:szCs w:val="28"/>
          <w:lang w:val="en-US"/>
        </w:rPr>
        <w:t>prices</w:t>
      </w:r>
      <w:r>
        <w:rPr>
          <w:rFonts w:ascii="Times New Roman" w:hAnsi="Times New Roman"/>
          <w:sz w:val="28"/>
          <w:szCs w:val="28"/>
          <w:lang w:val="en-US"/>
        </w:rPr>
        <w:t xml:space="preserve">, </w:t>
      </w:r>
      <w:r w:rsidRPr="005278FE">
        <w:rPr>
          <w:rFonts w:ascii="Times New Roman" w:hAnsi="Times New Roman"/>
          <w:sz w:val="28"/>
          <w:szCs w:val="28"/>
          <w:lang w:val="en-US"/>
        </w:rPr>
        <w:t xml:space="preserve">as well as </w:t>
      </w:r>
      <w:r>
        <w:rPr>
          <w:rFonts w:ascii="Times New Roman" w:hAnsi="Times New Roman"/>
          <w:sz w:val="28"/>
          <w:szCs w:val="28"/>
          <w:lang w:val="en-US"/>
        </w:rPr>
        <w:t>higher</w:t>
      </w:r>
      <w:r w:rsidR="00F7336A">
        <w:rPr>
          <w:rFonts w:ascii="Times New Roman" w:hAnsi="Times New Roman"/>
          <w:sz w:val="28"/>
          <w:szCs w:val="28"/>
          <w:lang w:val="en-US"/>
        </w:rPr>
        <w:t xml:space="preserve"> hydrocarbon production, refinery</w:t>
      </w:r>
      <w:r>
        <w:rPr>
          <w:rFonts w:ascii="Times New Roman" w:hAnsi="Times New Roman"/>
          <w:sz w:val="28"/>
          <w:szCs w:val="28"/>
          <w:lang w:val="en-US"/>
        </w:rPr>
        <w:t xml:space="preserve"> throughput and </w:t>
      </w:r>
      <w:r w:rsidR="00F7336A">
        <w:rPr>
          <w:rFonts w:ascii="Times New Roman" w:hAnsi="Times New Roman"/>
          <w:sz w:val="28"/>
          <w:szCs w:val="28"/>
          <w:lang w:val="en-US"/>
        </w:rPr>
        <w:t xml:space="preserve">crude </w:t>
      </w:r>
      <w:r>
        <w:rPr>
          <w:rFonts w:ascii="Times New Roman" w:hAnsi="Times New Roman"/>
          <w:sz w:val="28"/>
          <w:szCs w:val="28"/>
          <w:lang w:val="en-US"/>
        </w:rPr>
        <w:t>oil trading volumes</w:t>
      </w:r>
      <w:r w:rsidRPr="005278FE">
        <w:rPr>
          <w:rFonts w:ascii="Times New Roman" w:hAnsi="Times New Roman"/>
          <w:sz w:val="28"/>
          <w:szCs w:val="28"/>
          <w:lang w:val="en-US"/>
        </w:rPr>
        <w:t>.</w:t>
      </w:r>
      <w:r>
        <w:rPr>
          <w:rFonts w:ascii="Times New Roman" w:hAnsi="Times New Roman"/>
          <w:sz w:val="28"/>
          <w:szCs w:val="28"/>
          <w:lang w:val="en-US"/>
        </w:rPr>
        <w:t xml:space="preserve"> </w:t>
      </w:r>
      <w:r w:rsidRPr="005278FE">
        <w:rPr>
          <w:rFonts w:ascii="Times New Roman" w:hAnsi="Times New Roman"/>
          <w:sz w:val="28"/>
          <w:szCs w:val="28"/>
          <w:lang w:val="en-US"/>
        </w:rPr>
        <w:t xml:space="preserve">These factors were partially offset by </w:t>
      </w:r>
      <w:r>
        <w:rPr>
          <w:rFonts w:ascii="Times New Roman" w:hAnsi="Times New Roman"/>
          <w:sz w:val="28"/>
          <w:szCs w:val="28"/>
          <w:lang w:val="en-US"/>
        </w:rPr>
        <w:t>lower t</w:t>
      </w:r>
      <w:r w:rsidR="00675F94">
        <w:rPr>
          <w:rFonts w:ascii="Times New Roman" w:hAnsi="Times New Roman"/>
          <w:sz w:val="28"/>
          <w:szCs w:val="28"/>
          <w:lang w:val="en-US"/>
        </w:rPr>
        <w:t xml:space="preserve">rading and retail sales </w:t>
      </w:r>
      <w:r w:rsidR="00F7336A">
        <w:rPr>
          <w:rFonts w:ascii="Times New Roman" w:hAnsi="Times New Roman"/>
          <w:sz w:val="28"/>
          <w:szCs w:val="28"/>
          <w:lang w:val="en-US"/>
        </w:rPr>
        <w:t xml:space="preserve">volumes </w:t>
      </w:r>
      <w:r w:rsidR="00675F94">
        <w:rPr>
          <w:rFonts w:ascii="Times New Roman" w:hAnsi="Times New Roman"/>
          <w:sz w:val="28"/>
          <w:szCs w:val="28"/>
          <w:lang w:val="en-US"/>
        </w:rPr>
        <w:t>of refined products, as well as str</w:t>
      </w:r>
      <w:r w:rsidR="00F7336A">
        <w:rPr>
          <w:rFonts w:ascii="Times New Roman" w:hAnsi="Times New Roman"/>
          <w:sz w:val="28"/>
          <w:szCs w:val="28"/>
          <w:lang w:val="en-US"/>
        </w:rPr>
        <w:t xml:space="preserve">engthening of </w:t>
      </w:r>
      <w:r w:rsidRPr="005278FE">
        <w:rPr>
          <w:rFonts w:ascii="Times New Roman" w:hAnsi="Times New Roman"/>
          <w:sz w:val="28"/>
          <w:szCs w:val="28"/>
          <w:lang w:val="en-US"/>
        </w:rPr>
        <w:t>ruble</w:t>
      </w:r>
      <w:r w:rsidR="00675F94">
        <w:rPr>
          <w:rFonts w:ascii="Times New Roman" w:hAnsi="Times New Roman"/>
          <w:sz w:val="28"/>
          <w:szCs w:val="28"/>
          <w:lang w:val="en-US"/>
        </w:rPr>
        <w:t xml:space="preserve"> </w:t>
      </w:r>
      <w:r w:rsidRPr="005278FE">
        <w:rPr>
          <w:rFonts w:ascii="Times New Roman" w:hAnsi="Times New Roman"/>
          <w:sz w:val="28"/>
          <w:szCs w:val="28"/>
          <w:lang w:val="en-US"/>
        </w:rPr>
        <w:t>to US dollar.</w:t>
      </w:r>
    </w:p>
    <w:p w:rsidR="00B9662F" w:rsidRPr="00640226" w:rsidRDefault="00640226" w:rsidP="00B9662F">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 xml:space="preserve">As compared to the first quarter of 2020, our sales increased by 12.6% mainly due to higher </w:t>
      </w:r>
      <w:r w:rsidR="00F7336A">
        <w:rPr>
          <w:rFonts w:ascii="Times New Roman" w:hAnsi="Times New Roman"/>
          <w:sz w:val="28"/>
          <w:szCs w:val="28"/>
          <w:lang w:val="en-US"/>
        </w:rPr>
        <w:t xml:space="preserve">crude </w:t>
      </w:r>
      <w:r>
        <w:rPr>
          <w:rFonts w:ascii="Times New Roman" w:hAnsi="Times New Roman"/>
          <w:sz w:val="28"/>
          <w:szCs w:val="28"/>
          <w:lang w:val="en-US"/>
        </w:rPr>
        <w:t xml:space="preserve">oil prices and ruble devaluation. </w:t>
      </w:r>
      <w:r w:rsidRPr="00640226">
        <w:rPr>
          <w:rFonts w:ascii="Times New Roman" w:hAnsi="Times New Roman"/>
          <w:sz w:val="28"/>
          <w:szCs w:val="28"/>
          <w:lang w:val="en-US"/>
        </w:rPr>
        <w:t xml:space="preserve">The growth was constrained by </w:t>
      </w:r>
      <w:r>
        <w:rPr>
          <w:rFonts w:ascii="Times New Roman" w:hAnsi="Times New Roman"/>
          <w:sz w:val="28"/>
          <w:szCs w:val="28"/>
          <w:lang w:val="en-US"/>
        </w:rPr>
        <w:t xml:space="preserve">lower </w:t>
      </w:r>
      <w:r w:rsidR="00F7336A">
        <w:rPr>
          <w:rFonts w:ascii="Times New Roman" w:hAnsi="Times New Roman"/>
          <w:sz w:val="28"/>
          <w:szCs w:val="28"/>
          <w:lang w:val="en-US"/>
        </w:rPr>
        <w:t xml:space="preserve">hydrocarbon </w:t>
      </w:r>
      <w:r>
        <w:rPr>
          <w:rFonts w:ascii="Times New Roman" w:hAnsi="Times New Roman"/>
          <w:sz w:val="28"/>
          <w:szCs w:val="28"/>
          <w:lang w:val="en-US"/>
        </w:rPr>
        <w:t>production, refine</w:t>
      </w:r>
      <w:r w:rsidR="00F7336A">
        <w:rPr>
          <w:rFonts w:ascii="Times New Roman" w:hAnsi="Times New Roman"/>
          <w:sz w:val="28"/>
          <w:szCs w:val="28"/>
          <w:lang w:val="en-US"/>
        </w:rPr>
        <w:t>ry</w:t>
      </w:r>
      <w:r>
        <w:rPr>
          <w:rFonts w:ascii="Times New Roman" w:hAnsi="Times New Roman"/>
          <w:sz w:val="28"/>
          <w:szCs w:val="28"/>
          <w:lang w:val="en-US"/>
        </w:rPr>
        <w:t xml:space="preserve"> throughput and trading volumes</w:t>
      </w:r>
      <w:r w:rsidRPr="00640226">
        <w:rPr>
          <w:rFonts w:ascii="Times New Roman" w:hAnsi="Times New Roman"/>
          <w:sz w:val="28"/>
          <w:szCs w:val="28"/>
          <w:lang w:val="en-US"/>
        </w:rPr>
        <w:t>.</w:t>
      </w:r>
    </w:p>
    <w:p w:rsidR="00386499" w:rsidRDefault="00386499" w:rsidP="00B9662F">
      <w:pPr>
        <w:snapToGrid w:val="0"/>
        <w:spacing w:line="240" w:lineRule="auto"/>
        <w:jc w:val="both"/>
        <w:rPr>
          <w:rFonts w:ascii="Times New Roman" w:hAnsi="Times New Roman"/>
          <w:i/>
          <w:sz w:val="28"/>
          <w:szCs w:val="28"/>
          <w:lang w:val="en-US"/>
        </w:rPr>
      </w:pPr>
    </w:p>
    <w:p w:rsidR="00B9662F" w:rsidRPr="00DF33F8" w:rsidRDefault="00B9662F" w:rsidP="00B9662F">
      <w:pPr>
        <w:snapToGrid w:val="0"/>
        <w:spacing w:line="240" w:lineRule="auto"/>
        <w:jc w:val="both"/>
        <w:rPr>
          <w:rFonts w:ascii="Times New Roman" w:hAnsi="Times New Roman"/>
          <w:i/>
          <w:sz w:val="28"/>
          <w:szCs w:val="28"/>
        </w:rPr>
      </w:pPr>
      <w:r w:rsidRPr="00DF33F8">
        <w:rPr>
          <w:rFonts w:ascii="Times New Roman" w:hAnsi="Times New Roman"/>
          <w:i/>
          <w:sz w:val="28"/>
          <w:szCs w:val="28"/>
          <w:lang w:val="en-US"/>
        </w:rPr>
        <w:t>EBITDA</w:t>
      </w:r>
    </w:p>
    <w:tbl>
      <w:tblPr>
        <w:tblStyle w:val="af2"/>
        <w:tblW w:w="9864" w:type="dxa"/>
        <w:jc w:val="center"/>
        <w:tblLayout w:type="fixed"/>
        <w:tblLook w:val="04A0" w:firstRow="1" w:lastRow="0" w:firstColumn="1" w:lastColumn="0" w:noHBand="0" w:noVBand="1"/>
      </w:tblPr>
      <w:tblGrid>
        <w:gridCol w:w="1247"/>
        <w:gridCol w:w="1247"/>
        <w:gridCol w:w="4876"/>
        <w:gridCol w:w="1247"/>
        <w:gridCol w:w="1247"/>
      </w:tblGrid>
      <w:tr w:rsidR="00B9662F" w:rsidRPr="00325FD4" w:rsidTr="00FC7BC5">
        <w:trPr>
          <w:jc w:val="center"/>
        </w:trPr>
        <w:tc>
          <w:tcPr>
            <w:tcW w:w="1247" w:type="dxa"/>
            <w:tcBorders>
              <w:top w:val="nil"/>
              <w:left w:val="nil"/>
              <w:bottom w:val="nil"/>
              <w:right w:val="nil"/>
            </w:tcBorders>
            <w:hideMark/>
          </w:tcPr>
          <w:p w:rsidR="00B9662F" w:rsidRPr="00325FD4" w:rsidRDefault="00B9662F" w:rsidP="00640226">
            <w:pPr>
              <w:spacing w:after="0" w:line="240" w:lineRule="auto"/>
              <w:jc w:val="right"/>
              <w:rPr>
                <w:rFonts w:ascii="Times New Roman" w:hAnsi="Times New Roman" w:cs="Times New Roman"/>
                <w:b/>
                <w:sz w:val="24"/>
                <w:szCs w:val="24"/>
              </w:rPr>
            </w:pPr>
            <w:r w:rsidRPr="00F33D20">
              <w:rPr>
                <w:rFonts w:ascii="Times New Roman" w:hAnsi="Times New Roman" w:cs="Times New Roman"/>
                <w:b/>
                <w:sz w:val="24"/>
                <w:szCs w:val="24"/>
              </w:rPr>
              <w:t>1</w:t>
            </w:r>
            <w:r w:rsidR="00640226">
              <w:rPr>
                <w:rFonts w:ascii="Times New Roman" w:hAnsi="Times New Roman" w:cs="Times New Roman"/>
                <w:b/>
                <w:sz w:val="24"/>
                <w:szCs w:val="24"/>
                <w:lang w:val="en-US"/>
              </w:rPr>
              <w:t>Q</w:t>
            </w:r>
          </w:p>
        </w:tc>
        <w:tc>
          <w:tcPr>
            <w:tcW w:w="1247" w:type="dxa"/>
            <w:tcBorders>
              <w:top w:val="nil"/>
              <w:left w:val="nil"/>
              <w:bottom w:val="nil"/>
              <w:right w:val="nil"/>
            </w:tcBorders>
          </w:tcPr>
          <w:p w:rsidR="00B9662F" w:rsidRPr="00640226" w:rsidRDefault="00B9662F" w:rsidP="00640226">
            <w:pPr>
              <w:spacing w:after="0" w:line="240" w:lineRule="auto"/>
              <w:jc w:val="right"/>
              <w:rPr>
                <w:rFonts w:ascii="Times New Roman" w:hAnsi="Times New Roman" w:cs="Times New Roman"/>
                <w:b/>
                <w:sz w:val="24"/>
                <w:szCs w:val="24"/>
                <w:lang w:val="en-US"/>
              </w:rPr>
            </w:pPr>
            <w:r w:rsidRPr="00F33D20">
              <w:rPr>
                <w:rFonts w:ascii="Times New Roman" w:hAnsi="Times New Roman" w:cs="Times New Roman"/>
                <w:b/>
                <w:sz w:val="24"/>
                <w:szCs w:val="24"/>
              </w:rPr>
              <w:t>4</w:t>
            </w:r>
            <w:r w:rsidR="00640226">
              <w:rPr>
                <w:rFonts w:ascii="Times New Roman" w:hAnsi="Times New Roman" w:cs="Times New Roman"/>
                <w:b/>
                <w:sz w:val="24"/>
                <w:szCs w:val="24"/>
                <w:lang w:val="en-US"/>
              </w:rPr>
              <w:t>Q</w:t>
            </w:r>
          </w:p>
        </w:tc>
        <w:tc>
          <w:tcPr>
            <w:tcW w:w="4876" w:type="dxa"/>
            <w:tcBorders>
              <w:top w:val="nil"/>
              <w:left w:val="nil"/>
              <w:bottom w:val="nil"/>
              <w:right w:val="nil"/>
            </w:tcBorders>
          </w:tcPr>
          <w:p w:rsidR="00B9662F" w:rsidRPr="00F33D20" w:rsidRDefault="00B9662F" w:rsidP="00FC7BC5">
            <w:pPr>
              <w:spacing w:after="0" w:line="240" w:lineRule="auto"/>
              <w:jc w:val="center"/>
              <w:rPr>
                <w:rFonts w:ascii="Times New Roman" w:hAnsi="Times New Roman" w:cs="Times New Roman"/>
                <w:b/>
                <w:sz w:val="24"/>
                <w:szCs w:val="24"/>
              </w:rPr>
            </w:pPr>
          </w:p>
        </w:tc>
        <w:tc>
          <w:tcPr>
            <w:tcW w:w="1247" w:type="dxa"/>
            <w:tcBorders>
              <w:top w:val="nil"/>
              <w:left w:val="nil"/>
              <w:bottom w:val="nil"/>
              <w:right w:val="nil"/>
            </w:tcBorders>
          </w:tcPr>
          <w:p w:rsidR="00B9662F" w:rsidRPr="00640226" w:rsidRDefault="00B9662F" w:rsidP="00640226">
            <w:pPr>
              <w:spacing w:after="0" w:line="240" w:lineRule="auto"/>
              <w:jc w:val="right"/>
              <w:rPr>
                <w:rFonts w:ascii="Times New Roman" w:hAnsi="Times New Roman" w:cs="Times New Roman"/>
                <w:b/>
                <w:sz w:val="24"/>
                <w:szCs w:val="24"/>
                <w:lang w:val="en-US"/>
              </w:rPr>
            </w:pPr>
            <w:r w:rsidRPr="00F33D20">
              <w:rPr>
                <w:rFonts w:ascii="Times New Roman" w:hAnsi="Times New Roman" w:cs="Times New Roman"/>
                <w:b/>
                <w:sz w:val="24"/>
                <w:szCs w:val="24"/>
              </w:rPr>
              <w:t>1</w:t>
            </w:r>
            <w:r w:rsidR="00640226">
              <w:rPr>
                <w:rFonts w:ascii="Times New Roman" w:hAnsi="Times New Roman" w:cs="Times New Roman"/>
                <w:b/>
                <w:sz w:val="24"/>
                <w:szCs w:val="24"/>
                <w:lang w:val="en-US"/>
              </w:rPr>
              <w:t>Q</w:t>
            </w:r>
          </w:p>
        </w:tc>
        <w:tc>
          <w:tcPr>
            <w:tcW w:w="1247" w:type="dxa"/>
            <w:tcBorders>
              <w:top w:val="nil"/>
              <w:left w:val="nil"/>
              <w:bottom w:val="nil"/>
              <w:right w:val="nil"/>
            </w:tcBorders>
          </w:tcPr>
          <w:p w:rsidR="00B9662F" w:rsidRPr="00640226" w:rsidRDefault="00B9662F" w:rsidP="00640226">
            <w:pPr>
              <w:spacing w:after="0" w:line="240" w:lineRule="auto"/>
              <w:jc w:val="right"/>
              <w:rPr>
                <w:rFonts w:ascii="Times New Roman" w:hAnsi="Times New Roman" w:cs="Times New Roman"/>
                <w:b/>
                <w:sz w:val="24"/>
                <w:szCs w:val="24"/>
                <w:lang w:val="en-US"/>
              </w:rPr>
            </w:pPr>
            <w:r w:rsidRPr="00F33D20">
              <w:rPr>
                <w:rFonts w:ascii="Times New Roman" w:hAnsi="Times New Roman" w:cs="Times New Roman"/>
                <w:b/>
                <w:sz w:val="24"/>
                <w:szCs w:val="24"/>
              </w:rPr>
              <w:t>1</w:t>
            </w:r>
            <w:r w:rsidR="00640226">
              <w:rPr>
                <w:rFonts w:ascii="Times New Roman" w:hAnsi="Times New Roman" w:cs="Times New Roman"/>
                <w:b/>
                <w:sz w:val="24"/>
                <w:szCs w:val="24"/>
                <w:lang w:val="en-US"/>
              </w:rPr>
              <w:t>Q</w:t>
            </w:r>
          </w:p>
        </w:tc>
      </w:tr>
      <w:tr w:rsidR="00B9662F" w:rsidRPr="00325FD4" w:rsidTr="00FC7BC5">
        <w:trPr>
          <w:jc w:val="center"/>
        </w:trPr>
        <w:tc>
          <w:tcPr>
            <w:tcW w:w="1247" w:type="dxa"/>
            <w:tcBorders>
              <w:top w:val="nil"/>
              <w:left w:val="nil"/>
              <w:bottom w:val="single" w:sz="4" w:space="0" w:color="auto"/>
              <w:right w:val="nil"/>
            </w:tcBorders>
            <w:hideMark/>
          </w:tcPr>
          <w:p w:rsidR="00B9662F" w:rsidRPr="00F33D20" w:rsidRDefault="00B9662F" w:rsidP="00FC7BC5">
            <w:pPr>
              <w:spacing w:after="0" w:line="240" w:lineRule="auto"/>
              <w:jc w:val="right"/>
              <w:rPr>
                <w:rFonts w:ascii="Times New Roman" w:hAnsi="Times New Roman" w:cs="Times New Roman"/>
                <w:b/>
                <w:sz w:val="24"/>
                <w:szCs w:val="24"/>
              </w:rPr>
            </w:pPr>
            <w:r w:rsidRPr="00F33D20">
              <w:rPr>
                <w:rFonts w:ascii="Times New Roman" w:hAnsi="Times New Roman" w:cs="Times New Roman"/>
                <w:b/>
                <w:sz w:val="24"/>
                <w:szCs w:val="24"/>
              </w:rPr>
              <w:t>2021</w:t>
            </w:r>
          </w:p>
        </w:tc>
        <w:tc>
          <w:tcPr>
            <w:tcW w:w="1247" w:type="dxa"/>
            <w:tcBorders>
              <w:top w:val="nil"/>
              <w:left w:val="nil"/>
              <w:bottom w:val="single" w:sz="4" w:space="0" w:color="auto"/>
              <w:right w:val="nil"/>
            </w:tcBorders>
          </w:tcPr>
          <w:p w:rsidR="00B9662F" w:rsidRPr="00F33D20" w:rsidRDefault="00B9662F" w:rsidP="00FC7BC5">
            <w:pPr>
              <w:spacing w:after="0" w:line="240" w:lineRule="auto"/>
              <w:jc w:val="right"/>
              <w:rPr>
                <w:rFonts w:ascii="Times New Roman" w:hAnsi="Times New Roman" w:cs="Times New Roman"/>
                <w:b/>
                <w:sz w:val="24"/>
                <w:szCs w:val="24"/>
              </w:rPr>
            </w:pPr>
            <w:r w:rsidRPr="00F33D20">
              <w:rPr>
                <w:rFonts w:ascii="Times New Roman" w:hAnsi="Times New Roman" w:cs="Times New Roman"/>
                <w:b/>
                <w:sz w:val="24"/>
                <w:szCs w:val="24"/>
              </w:rPr>
              <w:t>2020</w:t>
            </w:r>
          </w:p>
        </w:tc>
        <w:tc>
          <w:tcPr>
            <w:tcW w:w="4876" w:type="dxa"/>
            <w:tcBorders>
              <w:top w:val="nil"/>
              <w:left w:val="nil"/>
              <w:bottom w:val="single" w:sz="4" w:space="0" w:color="auto"/>
              <w:right w:val="nil"/>
            </w:tcBorders>
          </w:tcPr>
          <w:p w:rsidR="00B9662F" w:rsidRPr="00F33D20" w:rsidRDefault="00B9662F" w:rsidP="00FC7BC5">
            <w:pPr>
              <w:spacing w:after="0" w:line="240" w:lineRule="auto"/>
              <w:jc w:val="center"/>
              <w:rPr>
                <w:rFonts w:ascii="Times New Roman" w:hAnsi="Times New Roman" w:cs="Times New Roman"/>
                <w:b/>
                <w:sz w:val="24"/>
                <w:szCs w:val="24"/>
              </w:rPr>
            </w:pPr>
          </w:p>
        </w:tc>
        <w:tc>
          <w:tcPr>
            <w:tcW w:w="1247" w:type="dxa"/>
            <w:tcBorders>
              <w:top w:val="nil"/>
              <w:left w:val="nil"/>
              <w:bottom w:val="single" w:sz="4" w:space="0" w:color="auto"/>
              <w:right w:val="nil"/>
            </w:tcBorders>
          </w:tcPr>
          <w:p w:rsidR="00B9662F" w:rsidRPr="00F33D20" w:rsidRDefault="00B9662F" w:rsidP="00FC7BC5">
            <w:pPr>
              <w:spacing w:after="0" w:line="240" w:lineRule="auto"/>
              <w:jc w:val="right"/>
              <w:rPr>
                <w:rFonts w:ascii="Times New Roman" w:hAnsi="Times New Roman" w:cs="Times New Roman"/>
                <w:b/>
                <w:sz w:val="24"/>
                <w:szCs w:val="24"/>
              </w:rPr>
            </w:pPr>
            <w:r w:rsidRPr="00F33D20">
              <w:rPr>
                <w:rFonts w:ascii="Times New Roman" w:hAnsi="Times New Roman" w:cs="Times New Roman"/>
                <w:b/>
                <w:sz w:val="24"/>
                <w:szCs w:val="24"/>
              </w:rPr>
              <w:t>2021</w:t>
            </w:r>
          </w:p>
        </w:tc>
        <w:tc>
          <w:tcPr>
            <w:tcW w:w="1247" w:type="dxa"/>
            <w:tcBorders>
              <w:top w:val="nil"/>
              <w:left w:val="nil"/>
              <w:bottom w:val="single" w:sz="4" w:space="0" w:color="auto"/>
              <w:right w:val="nil"/>
            </w:tcBorders>
            <w:hideMark/>
          </w:tcPr>
          <w:p w:rsidR="00B9662F" w:rsidRPr="00F33D20" w:rsidRDefault="00B9662F" w:rsidP="00FC7BC5">
            <w:pPr>
              <w:spacing w:after="0" w:line="240" w:lineRule="auto"/>
              <w:jc w:val="right"/>
              <w:rPr>
                <w:rFonts w:ascii="Times New Roman" w:hAnsi="Times New Roman" w:cs="Times New Roman"/>
                <w:b/>
                <w:sz w:val="24"/>
                <w:szCs w:val="24"/>
              </w:rPr>
            </w:pPr>
            <w:r w:rsidRPr="00F33D20">
              <w:rPr>
                <w:rFonts w:ascii="Times New Roman" w:hAnsi="Times New Roman" w:cs="Times New Roman"/>
                <w:b/>
                <w:sz w:val="24"/>
                <w:szCs w:val="24"/>
              </w:rPr>
              <w:t>2020</w:t>
            </w:r>
          </w:p>
        </w:tc>
      </w:tr>
      <w:tr w:rsidR="00B9662F" w:rsidRPr="00325FD4" w:rsidTr="00FC7BC5">
        <w:trPr>
          <w:jc w:val="center"/>
        </w:trPr>
        <w:tc>
          <w:tcPr>
            <w:tcW w:w="1247" w:type="dxa"/>
            <w:tcBorders>
              <w:top w:val="single" w:sz="4" w:space="0" w:color="auto"/>
              <w:left w:val="single" w:sz="4" w:space="0" w:color="FFFFFF" w:themeColor="background1"/>
              <w:bottom w:val="nil"/>
              <w:right w:val="single" w:sz="4" w:space="0" w:color="FFFFFF" w:themeColor="background1"/>
            </w:tcBorders>
          </w:tcPr>
          <w:p w:rsidR="00B9662F" w:rsidRPr="00F33D20" w:rsidRDefault="00B9662F" w:rsidP="00FC7BC5">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FFFFFF" w:themeColor="background1"/>
              <w:bottom w:val="nil"/>
              <w:right w:val="single" w:sz="4" w:space="0" w:color="FFFFFF" w:themeColor="background1"/>
            </w:tcBorders>
          </w:tcPr>
          <w:p w:rsidR="00B9662F" w:rsidRPr="00F33D20" w:rsidRDefault="00B9662F" w:rsidP="00FC7BC5">
            <w:pPr>
              <w:spacing w:after="0" w:line="240" w:lineRule="auto"/>
              <w:rPr>
                <w:rFonts w:ascii="Times New Roman" w:hAnsi="Times New Roman" w:cs="Times New Roman"/>
                <w:sz w:val="24"/>
                <w:szCs w:val="24"/>
              </w:rPr>
            </w:pPr>
          </w:p>
        </w:tc>
        <w:tc>
          <w:tcPr>
            <w:tcW w:w="4876" w:type="dxa"/>
            <w:tcBorders>
              <w:top w:val="single" w:sz="4" w:space="0" w:color="auto"/>
              <w:left w:val="single" w:sz="4" w:space="0" w:color="FFFFFF" w:themeColor="background1"/>
              <w:bottom w:val="nil"/>
              <w:right w:val="single" w:sz="4" w:space="0" w:color="FFFFFF" w:themeColor="background1"/>
            </w:tcBorders>
          </w:tcPr>
          <w:p w:rsidR="00B9662F" w:rsidRPr="00F33D20" w:rsidRDefault="00640226" w:rsidP="00FC7BC5">
            <w:pPr>
              <w:spacing w:after="120" w:line="240" w:lineRule="auto"/>
              <w:jc w:val="center"/>
              <w:rPr>
                <w:rFonts w:ascii="Times New Roman" w:eastAsia="Times New Roman" w:hAnsi="Times New Roman" w:cs="Times New Roman"/>
                <w:szCs w:val="24"/>
                <w:lang w:eastAsia="ru-RU"/>
              </w:rPr>
            </w:pPr>
            <w:r w:rsidRPr="00640226">
              <w:rPr>
                <w:rFonts w:ascii="Times New Roman" w:eastAsia="Times New Roman" w:hAnsi="Times New Roman" w:cs="Times New Roman"/>
                <w:szCs w:val="24"/>
                <w:lang w:eastAsia="ru-RU"/>
              </w:rPr>
              <w:t>(RUB bln)</w:t>
            </w:r>
          </w:p>
        </w:tc>
        <w:tc>
          <w:tcPr>
            <w:tcW w:w="1247" w:type="dxa"/>
            <w:tcBorders>
              <w:top w:val="single" w:sz="4" w:space="0" w:color="auto"/>
              <w:left w:val="single" w:sz="4" w:space="0" w:color="FFFFFF" w:themeColor="background1"/>
              <w:bottom w:val="nil"/>
              <w:right w:val="single" w:sz="4" w:space="0" w:color="FFFFFF" w:themeColor="background1"/>
            </w:tcBorders>
          </w:tcPr>
          <w:p w:rsidR="00B9662F" w:rsidRPr="00F33D20" w:rsidRDefault="00B9662F" w:rsidP="00FC7BC5">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FFFFFF" w:themeColor="background1"/>
              <w:bottom w:val="nil"/>
              <w:right w:val="single" w:sz="4" w:space="0" w:color="FFFFFF" w:themeColor="background1"/>
            </w:tcBorders>
          </w:tcPr>
          <w:p w:rsidR="00B9662F" w:rsidRPr="00F33D20" w:rsidRDefault="00B9662F" w:rsidP="00FC7BC5">
            <w:pPr>
              <w:spacing w:after="0" w:line="240" w:lineRule="auto"/>
              <w:rPr>
                <w:rFonts w:ascii="Times New Roman" w:hAnsi="Times New Roman" w:cs="Times New Roman"/>
                <w:sz w:val="24"/>
                <w:szCs w:val="24"/>
              </w:rPr>
            </w:pPr>
          </w:p>
        </w:tc>
      </w:tr>
      <w:tr w:rsidR="00B9662F" w:rsidRPr="00325FD4" w:rsidTr="00FC7BC5">
        <w:trPr>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B9662F"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314</w:t>
            </w:r>
            <w:r w:rsidR="00640226">
              <w:rPr>
                <w:rFonts w:ascii="Times New Roman" w:eastAsia="Times New Roman" w:hAnsi="Times New Roman" w:cs="Times New Roman"/>
                <w:b/>
                <w:color w:val="000000" w:themeColor="text1"/>
                <w:szCs w:val="24"/>
                <w:lang w:eastAsia="ru-RU"/>
              </w:rPr>
              <w:t>.</w:t>
            </w:r>
            <w:r>
              <w:rPr>
                <w:rFonts w:ascii="Times New Roman" w:eastAsia="Times New Roman" w:hAnsi="Times New Roman" w:cs="Times New Roman"/>
                <w:b/>
                <w:color w:val="000000" w:themeColor="text1"/>
                <w:szCs w:val="24"/>
                <w:lang w:eastAsia="ru-RU"/>
              </w:rPr>
              <w:t>4</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B9662F" w:rsidP="00FC7BC5">
            <w:pPr>
              <w:spacing w:after="120"/>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1</w:t>
            </w:r>
            <w:r w:rsidR="00640226">
              <w:rPr>
                <w:rFonts w:ascii="Times New Roman" w:eastAsia="Times New Roman" w:hAnsi="Times New Roman" w:cs="Times New Roman"/>
                <w:b/>
                <w:color w:val="000000" w:themeColor="text1"/>
                <w:szCs w:val="24"/>
                <w:lang w:val="en-US" w:eastAsia="ru-RU"/>
              </w:rPr>
              <w:t>89.</w:t>
            </w:r>
            <w:r>
              <w:rPr>
                <w:rFonts w:ascii="Times New Roman" w:eastAsia="Times New Roman" w:hAnsi="Times New Roman" w:cs="Times New Roman"/>
                <w:b/>
                <w:color w:val="000000" w:themeColor="text1"/>
                <w:szCs w:val="24"/>
                <w:lang w:val="en-US" w:eastAsia="ru-RU"/>
              </w:rPr>
              <w:t>6</w:t>
            </w:r>
          </w:p>
        </w:tc>
        <w:tc>
          <w:tcPr>
            <w:tcW w:w="4876" w:type="dxa"/>
            <w:tcBorders>
              <w:top w:val="nil"/>
              <w:left w:val="single" w:sz="4" w:space="0" w:color="FFFFFF" w:themeColor="background1"/>
              <w:bottom w:val="nil"/>
              <w:right w:val="single" w:sz="4" w:space="0" w:color="FFFFFF" w:themeColor="background1"/>
            </w:tcBorders>
          </w:tcPr>
          <w:p w:rsidR="00B9662F" w:rsidRPr="00BA652B" w:rsidRDefault="00B9662F" w:rsidP="00FC7BC5">
            <w:pPr>
              <w:spacing w:after="120" w:line="240" w:lineRule="auto"/>
              <w:rPr>
                <w:rFonts w:ascii="Times New Roman" w:eastAsia="Times New Roman" w:hAnsi="Times New Roman" w:cs="Times New Roman"/>
                <w:b/>
                <w:color w:val="000000"/>
                <w:szCs w:val="24"/>
                <w:lang w:eastAsia="ru-RU"/>
              </w:rPr>
            </w:pPr>
            <w:r w:rsidRPr="00BA652B">
              <w:rPr>
                <w:rFonts w:ascii="Times New Roman" w:eastAsia="Times New Roman" w:hAnsi="Times New Roman" w:cs="Times New Roman"/>
                <w:b/>
                <w:color w:val="000000"/>
                <w:szCs w:val="24"/>
                <w:lang w:eastAsia="ru-RU"/>
              </w:rPr>
              <w:t xml:space="preserve">EBITDA </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B9662F"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314</w:t>
            </w:r>
            <w:r w:rsidR="00640226">
              <w:rPr>
                <w:rFonts w:ascii="Times New Roman" w:eastAsia="Times New Roman" w:hAnsi="Times New Roman" w:cs="Times New Roman"/>
                <w:b/>
                <w:color w:val="000000" w:themeColor="text1"/>
                <w:szCs w:val="24"/>
                <w:lang w:eastAsia="ru-RU"/>
              </w:rPr>
              <w:t>.</w:t>
            </w:r>
            <w:r>
              <w:rPr>
                <w:rFonts w:ascii="Times New Roman" w:eastAsia="Times New Roman" w:hAnsi="Times New Roman" w:cs="Times New Roman"/>
                <w:b/>
                <w:color w:val="000000" w:themeColor="text1"/>
                <w:szCs w:val="24"/>
                <w:lang w:eastAsia="ru-RU"/>
              </w:rPr>
              <w:t>4</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B9662F" w:rsidP="00FC7BC5">
            <w:pPr>
              <w:spacing w:after="120"/>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15</w:t>
            </w:r>
            <w:r w:rsidR="00640226">
              <w:rPr>
                <w:rFonts w:ascii="Times New Roman" w:eastAsia="Times New Roman" w:hAnsi="Times New Roman" w:cs="Times New Roman"/>
                <w:b/>
                <w:color w:val="000000" w:themeColor="text1"/>
                <w:szCs w:val="24"/>
                <w:lang w:val="en-US" w:eastAsia="ru-RU"/>
              </w:rPr>
              <w:t>0.</w:t>
            </w:r>
            <w:r>
              <w:rPr>
                <w:rFonts w:ascii="Times New Roman" w:eastAsia="Times New Roman" w:hAnsi="Times New Roman" w:cs="Times New Roman"/>
                <w:b/>
                <w:color w:val="000000" w:themeColor="text1"/>
                <w:szCs w:val="24"/>
                <w:lang w:val="en-US" w:eastAsia="ru-RU"/>
              </w:rPr>
              <w:t>8</w:t>
            </w:r>
          </w:p>
        </w:tc>
      </w:tr>
      <w:tr w:rsidR="00B9662F" w:rsidRPr="00292B9D" w:rsidTr="00FC7BC5">
        <w:trPr>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640226"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223.</w:t>
            </w:r>
            <w:r w:rsidR="00B9662F">
              <w:rPr>
                <w:rFonts w:ascii="Times New Roman" w:eastAsia="Times New Roman" w:hAnsi="Times New Roman" w:cs="Times New Roman"/>
                <w:b/>
                <w:color w:val="000000" w:themeColor="text1"/>
                <w:szCs w:val="24"/>
                <w:lang w:eastAsia="ru-RU"/>
              </w:rPr>
              <w:t>8</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B9662F"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16</w:t>
            </w:r>
            <w:r>
              <w:rPr>
                <w:rFonts w:ascii="Times New Roman" w:eastAsia="Times New Roman" w:hAnsi="Times New Roman" w:cs="Times New Roman"/>
                <w:b/>
                <w:color w:val="000000" w:themeColor="text1"/>
                <w:szCs w:val="24"/>
                <w:lang w:val="en-US" w:eastAsia="ru-RU"/>
              </w:rPr>
              <w:t>6</w:t>
            </w:r>
            <w:r w:rsidR="00640226">
              <w:rPr>
                <w:rFonts w:ascii="Times New Roman" w:eastAsia="Times New Roman" w:hAnsi="Times New Roman" w:cs="Times New Roman"/>
                <w:b/>
                <w:color w:val="000000" w:themeColor="text1"/>
                <w:szCs w:val="24"/>
                <w:lang w:eastAsia="ru-RU"/>
              </w:rPr>
              <w:t>.</w:t>
            </w:r>
            <w:r w:rsidRPr="000E0764">
              <w:rPr>
                <w:rFonts w:ascii="Times New Roman" w:eastAsia="Times New Roman" w:hAnsi="Times New Roman" w:cs="Times New Roman"/>
                <w:b/>
                <w:color w:val="000000" w:themeColor="text1"/>
                <w:szCs w:val="24"/>
                <w:lang w:eastAsia="ru-RU"/>
              </w:rPr>
              <w:t>6</w:t>
            </w:r>
          </w:p>
        </w:tc>
        <w:tc>
          <w:tcPr>
            <w:tcW w:w="4876" w:type="dxa"/>
            <w:tcBorders>
              <w:top w:val="nil"/>
              <w:left w:val="single" w:sz="4" w:space="0" w:color="FFFFFF" w:themeColor="background1"/>
              <w:bottom w:val="nil"/>
              <w:right w:val="single" w:sz="4" w:space="0" w:color="FFFFFF" w:themeColor="background1"/>
            </w:tcBorders>
          </w:tcPr>
          <w:p w:rsidR="00B9662F" w:rsidRPr="00BA652B" w:rsidRDefault="00B9662F" w:rsidP="00FC7BC5">
            <w:pPr>
              <w:spacing w:after="120" w:line="240" w:lineRule="auto"/>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 xml:space="preserve">   </w:t>
            </w:r>
            <w:r w:rsidR="00640226" w:rsidRPr="00640226">
              <w:rPr>
                <w:rFonts w:ascii="Times New Roman" w:eastAsia="Times New Roman" w:hAnsi="Times New Roman" w:cs="Times New Roman"/>
                <w:b/>
                <w:color w:val="000000"/>
                <w:szCs w:val="24"/>
                <w:lang w:eastAsia="ru-RU"/>
              </w:rPr>
              <w:t>Exploration and production</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640226"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223.</w:t>
            </w:r>
            <w:r w:rsidR="00B9662F">
              <w:rPr>
                <w:rFonts w:ascii="Times New Roman" w:eastAsia="Times New Roman" w:hAnsi="Times New Roman" w:cs="Times New Roman"/>
                <w:b/>
                <w:color w:val="000000" w:themeColor="text1"/>
                <w:szCs w:val="24"/>
                <w:lang w:eastAsia="ru-RU"/>
              </w:rPr>
              <w:t>8</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B9662F"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1</w:t>
            </w:r>
            <w:r w:rsidR="00640226">
              <w:rPr>
                <w:rFonts w:ascii="Times New Roman" w:eastAsia="Times New Roman" w:hAnsi="Times New Roman" w:cs="Times New Roman"/>
                <w:b/>
                <w:color w:val="000000" w:themeColor="text1"/>
                <w:szCs w:val="24"/>
                <w:lang w:val="en-US" w:eastAsia="ru-RU"/>
              </w:rPr>
              <w:t>09.</w:t>
            </w:r>
            <w:r>
              <w:rPr>
                <w:rFonts w:ascii="Times New Roman" w:eastAsia="Times New Roman" w:hAnsi="Times New Roman" w:cs="Times New Roman"/>
                <w:b/>
                <w:color w:val="000000" w:themeColor="text1"/>
                <w:szCs w:val="24"/>
                <w:lang w:val="en-US" w:eastAsia="ru-RU"/>
              </w:rPr>
              <w:t>2</w:t>
            </w:r>
          </w:p>
        </w:tc>
      </w:tr>
      <w:tr w:rsidR="00B9662F" w:rsidTr="00FC7BC5">
        <w:trPr>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640226"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187.</w:t>
            </w:r>
            <w:r w:rsidR="00B9662F">
              <w:rPr>
                <w:rFonts w:ascii="Times New Roman" w:eastAsia="Times New Roman" w:hAnsi="Times New Roman" w:cs="Times New Roman"/>
                <w:color w:val="000000" w:themeColor="text1"/>
                <w:szCs w:val="24"/>
                <w:lang w:eastAsia="ru-RU"/>
              </w:rPr>
              <w:t>0</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B9662F"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14</w:t>
            </w:r>
            <w:r>
              <w:rPr>
                <w:rFonts w:ascii="Times New Roman" w:eastAsia="Times New Roman" w:hAnsi="Times New Roman" w:cs="Times New Roman"/>
                <w:color w:val="000000" w:themeColor="text1"/>
                <w:szCs w:val="24"/>
                <w:lang w:val="en-US" w:eastAsia="ru-RU"/>
              </w:rPr>
              <w:t>8</w:t>
            </w:r>
            <w:r w:rsidR="00640226">
              <w:rPr>
                <w:rFonts w:ascii="Times New Roman" w:eastAsia="Times New Roman" w:hAnsi="Times New Roman" w:cs="Times New Roman"/>
                <w:color w:val="000000" w:themeColor="text1"/>
                <w:szCs w:val="24"/>
                <w:lang w:eastAsia="ru-RU"/>
              </w:rPr>
              <w:t>.</w:t>
            </w:r>
            <w:r>
              <w:rPr>
                <w:rFonts w:ascii="Times New Roman" w:eastAsia="Times New Roman" w:hAnsi="Times New Roman" w:cs="Times New Roman"/>
                <w:color w:val="000000" w:themeColor="text1"/>
                <w:szCs w:val="24"/>
                <w:lang w:val="en-US" w:eastAsia="ru-RU"/>
              </w:rPr>
              <w:t>0</w:t>
            </w:r>
          </w:p>
        </w:tc>
        <w:tc>
          <w:tcPr>
            <w:tcW w:w="4876" w:type="dxa"/>
            <w:tcBorders>
              <w:top w:val="nil"/>
              <w:left w:val="single" w:sz="4" w:space="0" w:color="FFFFFF" w:themeColor="background1"/>
              <w:bottom w:val="nil"/>
              <w:right w:val="single" w:sz="4" w:space="0" w:color="FFFFFF" w:themeColor="background1"/>
            </w:tcBorders>
          </w:tcPr>
          <w:p w:rsidR="00B9662F" w:rsidRPr="000E0764" w:rsidRDefault="00640226" w:rsidP="00FC7BC5">
            <w:pPr>
              <w:spacing w:after="120" w:line="240" w:lineRule="auto"/>
              <w:ind w:left="708"/>
              <w:rPr>
                <w:rFonts w:ascii="Times New Roman" w:eastAsia="Times New Roman" w:hAnsi="Times New Roman"/>
                <w:color w:val="000000"/>
                <w:lang w:eastAsia="ru-RU"/>
              </w:rPr>
            </w:pPr>
            <w:r w:rsidRPr="00640226">
              <w:rPr>
                <w:rFonts w:ascii="Times New Roman" w:eastAsia="Times New Roman" w:hAnsi="Times New Roman"/>
                <w:color w:val="000000"/>
                <w:lang w:eastAsia="ru-RU"/>
              </w:rPr>
              <w:t>Russia</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640226"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187.</w:t>
            </w:r>
            <w:r w:rsidR="00B9662F">
              <w:rPr>
                <w:rFonts w:ascii="Times New Roman" w:eastAsia="Times New Roman" w:hAnsi="Times New Roman" w:cs="Times New Roman"/>
                <w:color w:val="000000" w:themeColor="text1"/>
                <w:szCs w:val="24"/>
                <w:lang w:eastAsia="ru-RU"/>
              </w:rPr>
              <w:t>0</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640226"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73.</w:t>
            </w:r>
            <w:r w:rsidR="00B9662F">
              <w:rPr>
                <w:rFonts w:ascii="Times New Roman" w:eastAsia="Times New Roman" w:hAnsi="Times New Roman" w:cs="Times New Roman"/>
                <w:color w:val="000000" w:themeColor="text1"/>
                <w:szCs w:val="24"/>
                <w:lang w:val="en-US" w:eastAsia="ru-RU"/>
              </w:rPr>
              <w:t>6</w:t>
            </w:r>
          </w:p>
        </w:tc>
      </w:tr>
      <w:tr w:rsidR="00B9662F" w:rsidTr="00FC7BC5">
        <w:trPr>
          <w:trHeight w:val="245"/>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640226"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36.</w:t>
            </w:r>
            <w:r w:rsidR="00B9662F" w:rsidRPr="000E0764">
              <w:rPr>
                <w:rFonts w:ascii="Times New Roman" w:eastAsia="Times New Roman" w:hAnsi="Times New Roman" w:cs="Times New Roman"/>
                <w:color w:val="000000" w:themeColor="text1"/>
                <w:szCs w:val="24"/>
                <w:lang w:eastAsia="ru-RU"/>
              </w:rPr>
              <w:t>8</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B9662F"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val="en-US" w:eastAsia="ru-RU"/>
              </w:rPr>
              <w:t>18</w:t>
            </w:r>
            <w:r w:rsidR="00640226">
              <w:rPr>
                <w:rFonts w:ascii="Times New Roman" w:eastAsia="Times New Roman" w:hAnsi="Times New Roman" w:cs="Times New Roman"/>
                <w:color w:val="000000" w:themeColor="text1"/>
                <w:szCs w:val="24"/>
                <w:lang w:eastAsia="ru-RU"/>
              </w:rPr>
              <w:t>.</w:t>
            </w:r>
            <w:r>
              <w:rPr>
                <w:rFonts w:ascii="Times New Roman" w:eastAsia="Times New Roman" w:hAnsi="Times New Roman" w:cs="Times New Roman"/>
                <w:color w:val="000000" w:themeColor="text1"/>
                <w:szCs w:val="24"/>
                <w:lang w:val="en-US" w:eastAsia="ru-RU"/>
              </w:rPr>
              <w:t>6</w:t>
            </w:r>
          </w:p>
        </w:tc>
        <w:tc>
          <w:tcPr>
            <w:tcW w:w="4876" w:type="dxa"/>
            <w:tcBorders>
              <w:top w:val="nil"/>
              <w:left w:val="single" w:sz="4" w:space="0" w:color="FFFFFF" w:themeColor="background1"/>
              <w:bottom w:val="nil"/>
              <w:right w:val="single" w:sz="4" w:space="0" w:color="FFFFFF" w:themeColor="background1"/>
            </w:tcBorders>
          </w:tcPr>
          <w:p w:rsidR="00B9662F" w:rsidRPr="000E0764" w:rsidRDefault="00640226" w:rsidP="00FC7BC5">
            <w:pPr>
              <w:spacing w:after="120" w:line="240" w:lineRule="auto"/>
              <w:ind w:left="708"/>
              <w:rPr>
                <w:rFonts w:ascii="Times New Roman" w:eastAsia="Times New Roman" w:hAnsi="Times New Roman"/>
                <w:color w:val="000000"/>
                <w:lang w:eastAsia="ru-RU"/>
              </w:rPr>
            </w:pPr>
            <w:r w:rsidRPr="00640226">
              <w:rPr>
                <w:rFonts w:ascii="Times New Roman" w:eastAsia="Times New Roman" w:hAnsi="Times New Roman"/>
                <w:color w:val="000000"/>
                <w:lang w:eastAsia="ru-RU"/>
              </w:rPr>
              <w:t>Outside Russia</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640226"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36.</w:t>
            </w:r>
            <w:r w:rsidR="00B9662F" w:rsidRPr="000E0764">
              <w:rPr>
                <w:rFonts w:ascii="Times New Roman" w:eastAsia="Times New Roman" w:hAnsi="Times New Roman" w:cs="Times New Roman"/>
                <w:color w:val="000000" w:themeColor="text1"/>
                <w:szCs w:val="24"/>
                <w:lang w:eastAsia="ru-RU"/>
              </w:rPr>
              <w:t>8</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B9662F"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val="en-US" w:eastAsia="ru-RU"/>
              </w:rPr>
              <w:t>35</w:t>
            </w:r>
            <w:r w:rsidR="00640226">
              <w:rPr>
                <w:rFonts w:ascii="Times New Roman" w:eastAsia="Times New Roman" w:hAnsi="Times New Roman" w:cs="Times New Roman"/>
                <w:color w:val="000000" w:themeColor="text1"/>
                <w:szCs w:val="24"/>
                <w:lang w:eastAsia="ru-RU"/>
              </w:rPr>
              <w:t>.</w:t>
            </w:r>
            <w:r>
              <w:rPr>
                <w:rFonts w:ascii="Times New Roman" w:eastAsia="Times New Roman" w:hAnsi="Times New Roman" w:cs="Times New Roman"/>
                <w:color w:val="000000" w:themeColor="text1"/>
                <w:szCs w:val="24"/>
                <w:lang w:val="en-US" w:eastAsia="ru-RU"/>
              </w:rPr>
              <w:t>6</w:t>
            </w:r>
          </w:p>
        </w:tc>
      </w:tr>
      <w:tr w:rsidR="00B9662F" w:rsidRPr="009D27E0" w:rsidTr="00FC7BC5">
        <w:trPr>
          <w:trHeight w:val="245"/>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640226"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120.</w:t>
            </w:r>
            <w:r w:rsidR="00B9662F">
              <w:rPr>
                <w:rFonts w:ascii="Times New Roman" w:eastAsia="Times New Roman" w:hAnsi="Times New Roman" w:cs="Times New Roman"/>
                <w:b/>
                <w:color w:val="000000" w:themeColor="text1"/>
                <w:szCs w:val="24"/>
                <w:lang w:eastAsia="ru-RU"/>
              </w:rPr>
              <w:t>2</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640226"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46.</w:t>
            </w:r>
            <w:r w:rsidR="00B9662F" w:rsidRPr="000E0764">
              <w:rPr>
                <w:rFonts w:ascii="Times New Roman" w:eastAsia="Times New Roman" w:hAnsi="Times New Roman" w:cs="Times New Roman"/>
                <w:b/>
                <w:color w:val="000000" w:themeColor="text1"/>
                <w:szCs w:val="24"/>
                <w:lang w:eastAsia="ru-RU"/>
              </w:rPr>
              <w:t>6</w:t>
            </w:r>
          </w:p>
        </w:tc>
        <w:tc>
          <w:tcPr>
            <w:tcW w:w="4876" w:type="dxa"/>
            <w:tcBorders>
              <w:top w:val="nil"/>
              <w:left w:val="single" w:sz="4" w:space="0" w:color="FFFFFF" w:themeColor="background1"/>
              <w:bottom w:val="nil"/>
              <w:right w:val="single" w:sz="4" w:space="0" w:color="FFFFFF" w:themeColor="background1"/>
            </w:tcBorders>
          </w:tcPr>
          <w:p w:rsidR="00B9662F" w:rsidRPr="00F73001" w:rsidRDefault="00B9662F" w:rsidP="00FC7BC5">
            <w:pPr>
              <w:spacing w:after="120" w:line="240" w:lineRule="auto"/>
              <w:rPr>
                <w:rFonts w:ascii="Times New Roman" w:eastAsia="Times New Roman" w:hAnsi="Times New Roman"/>
                <w:b/>
                <w:szCs w:val="24"/>
                <w:lang w:val="en-GB" w:eastAsia="ru-RU"/>
              </w:rPr>
            </w:pPr>
            <w:r>
              <w:rPr>
                <w:rFonts w:ascii="Times New Roman" w:eastAsia="Times New Roman" w:hAnsi="Times New Roman"/>
                <w:b/>
                <w:szCs w:val="24"/>
                <w:lang w:eastAsia="ru-RU"/>
              </w:rPr>
              <w:t xml:space="preserve">   </w:t>
            </w:r>
            <w:r w:rsidR="00640226" w:rsidRPr="00640226">
              <w:rPr>
                <w:rFonts w:ascii="Times New Roman" w:eastAsia="Times New Roman" w:hAnsi="Times New Roman"/>
                <w:b/>
                <w:szCs w:val="24"/>
                <w:lang w:eastAsia="ru-RU"/>
              </w:rPr>
              <w:t>Refining, marketing and distribution</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640226"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120.</w:t>
            </w:r>
            <w:r w:rsidR="00B9662F">
              <w:rPr>
                <w:rFonts w:ascii="Times New Roman" w:eastAsia="Times New Roman" w:hAnsi="Times New Roman" w:cs="Times New Roman"/>
                <w:b/>
                <w:color w:val="000000" w:themeColor="text1"/>
                <w:szCs w:val="24"/>
                <w:lang w:eastAsia="ru-RU"/>
              </w:rPr>
              <w:t>2</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E0764" w:rsidRDefault="00640226"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val="en-US" w:eastAsia="ru-RU"/>
              </w:rPr>
              <w:t>40.</w:t>
            </w:r>
            <w:r w:rsidR="00B9662F">
              <w:rPr>
                <w:rFonts w:ascii="Times New Roman" w:eastAsia="Times New Roman" w:hAnsi="Times New Roman" w:cs="Times New Roman"/>
                <w:b/>
                <w:color w:val="000000" w:themeColor="text1"/>
                <w:szCs w:val="24"/>
                <w:lang w:val="en-US" w:eastAsia="ru-RU"/>
              </w:rPr>
              <w:t>3</w:t>
            </w:r>
          </w:p>
        </w:tc>
      </w:tr>
      <w:tr w:rsidR="00640226" w:rsidRPr="009D27E0" w:rsidTr="00FC7BC5">
        <w:trPr>
          <w:trHeight w:val="245"/>
          <w:jc w:val="center"/>
        </w:trPr>
        <w:tc>
          <w:tcPr>
            <w:tcW w:w="1247" w:type="dxa"/>
            <w:tcBorders>
              <w:top w:val="nil"/>
              <w:left w:val="single" w:sz="4" w:space="0" w:color="FFFFFF" w:themeColor="background1"/>
              <w:bottom w:val="nil"/>
              <w:right w:val="single" w:sz="4" w:space="0" w:color="FFFFFF" w:themeColor="background1"/>
            </w:tcBorders>
            <w:vAlign w:val="center"/>
          </w:tcPr>
          <w:p w:rsidR="00640226" w:rsidRPr="000E0764" w:rsidRDefault="00640226" w:rsidP="00640226">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66.</w:t>
            </w:r>
            <w:r w:rsidRPr="000E0764">
              <w:rPr>
                <w:rFonts w:ascii="Times New Roman" w:eastAsia="Times New Roman" w:hAnsi="Times New Roman" w:cs="Times New Roman"/>
                <w:color w:val="000000" w:themeColor="text1"/>
                <w:szCs w:val="24"/>
                <w:lang w:eastAsia="ru-RU"/>
              </w:rPr>
              <w:t>6</w:t>
            </w:r>
          </w:p>
        </w:tc>
        <w:tc>
          <w:tcPr>
            <w:tcW w:w="1247" w:type="dxa"/>
            <w:tcBorders>
              <w:top w:val="nil"/>
              <w:left w:val="single" w:sz="4" w:space="0" w:color="FFFFFF" w:themeColor="background1"/>
              <w:bottom w:val="nil"/>
              <w:right w:val="single" w:sz="4" w:space="0" w:color="FFFFFF" w:themeColor="background1"/>
            </w:tcBorders>
            <w:vAlign w:val="center"/>
          </w:tcPr>
          <w:p w:rsidR="00640226" w:rsidRPr="000E0764" w:rsidRDefault="00640226" w:rsidP="00640226">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43.</w:t>
            </w:r>
            <w:r w:rsidRPr="000E0764">
              <w:rPr>
                <w:rFonts w:ascii="Times New Roman" w:eastAsia="Times New Roman" w:hAnsi="Times New Roman" w:cs="Times New Roman"/>
                <w:color w:val="000000" w:themeColor="text1"/>
                <w:szCs w:val="24"/>
                <w:lang w:eastAsia="ru-RU"/>
              </w:rPr>
              <w:t>6</w:t>
            </w:r>
          </w:p>
        </w:tc>
        <w:tc>
          <w:tcPr>
            <w:tcW w:w="4876" w:type="dxa"/>
            <w:tcBorders>
              <w:top w:val="nil"/>
              <w:left w:val="single" w:sz="4" w:space="0" w:color="FFFFFF" w:themeColor="background1"/>
              <w:bottom w:val="nil"/>
              <w:right w:val="single" w:sz="4" w:space="0" w:color="FFFFFF" w:themeColor="background1"/>
            </w:tcBorders>
          </w:tcPr>
          <w:p w:rsidR="00640226" w:rsidRPr="000E0764" w:rsidRDefault="00640226" w:rsidP="00640226">
            <w:pPr>
              <w:spacing w:after="120" w:line="240" w:lineRule="auto"/>
              <w:ind w:left="708"/>
              <w:rPr>
                <w:rFonts w:ascii="Times New Roman" w:eastAsia="Times New Roman" w:hAnsi="Times New Roman"/>
                <w:color w:val="000000"/>
                <w:lang w:eastAsia="ru-RU"/>
              </w:rPr>
            </w:pPr>
            <w:r w:rsidRPr="00640226">
              <w:rPr>
                <w:rFonts w:ascii="Times New Roman" w:eastAsia="Times New Roman" w:hAnsi="Times New Roman"/>
                <w:color w:val="000000"/>
                <w:lang w:eastAsia="ru-RU"/>
              </w:rPr>
              <w:t>Russia</w:t>
            </w:r>
          </w:p>
        </w:tc>
        <w:tc>
          <w:tcPr>
            <w:tcW w:w="1247" w:type="dxa"/>
            <w:tcBorders>
              <w:top w:val="nil"/>
              <w:left w:val="single" w:sz="4" w:space="0" w:color="FFFFFF" w:themeColor="background1"/>
              <w:bottom w:val="nil"/>
              <w:right w:val="single" w:sz="4" w:space="0" w:color="FFFFFF" w:themeColor="background1"/>
            </w:tcBorders>
            <w:vAlign w:val="center"/>
          </w:tcPr>
          <w:p w:rsidR="00640226" w:rsidRPr="000E0764" w:rsidRDefault="00640226" w:rsidP="00640226">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66.</w:t>
            </w:r>
            <w:r w:rsidRPr="000E0764">
              <w:rPr>
                <w:rFonts w:ascii="Times New Roman" w:eastAsia="Times New Roman" w:hAnsi="Times New Roman" w:cs="Times New Roman"/>
                <w:color w:val="000000" w:themeColor="text1"/>
                <w:szCs w:val="24"/>
                <w:lang w:eastAsia="ru-RU"/>
              </w:rPr>
              <w:t>6</w:t>
            </w:r>
          </w:p>
        </w:tc>
        <w:tc>
          <w:tcPr>
            <w:tcW w:w="1247" w:type="dxa"/>
            <w:tcBorders>
              <w:top w:val="nil"/>
              <w:left w:val="single" w:sz="4" w:space="0" w:color="FFFFFF" w:themeColor="background1"/>
              <w:bottom w:val="nil"/>
              <w:right w:val="single" w:sz="4" w:space="0" w:color="FFFFFF" w:themeColor="background1"/>
            </w:tcBorders>
            <w:vAlign w:val="center"/>
          </w:tcPr>
          <w:p w:rsidR="00640226" w:rsidRPr="000E0764" w:rsidRDefault="00640226" w:rsidP="00640226">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61.</w:t>
            </w:r>
            <w:r>
              <w:rPr>
                <w:rFonts w:ascii="Times New Roman" w:eastAsia="Times New Roman" w:hAnsi="Times New Roman" w:cs="Times New Roman"/>
                <w:color w:val="000000" w:themeColor="text1"/>
                <w:szCs w:val="24"/>
                <w:lang w:val="en-US" w:eastAsia="ru-RU"/>
              </w:rPr>
              <w:t>8</w:t>
            </w:r>
          </w:p>
        </w:tc>
      </w:tr>
      <w:tr w:rsidR="00640226" w:rsidRPr="009D27E0" w:rsidTr="00FC7BC5">
        <w:trPr>
          <w:trHeight w:val="245"/>
          <w:jc w:val="center"/>
        </w:trPr>
        <w:tc>
          <w:tcPr>
            <w:tcW w:w="1247" w:type="dxa"/>
            <w:tcBorders>
              <w:top w:val="nil"/>
              <w:left w:val="single" w:sz="4" w:space="0" w:color="FFFFFF" w:themeColor="background1"/>
              <w:bottom w:val="single" w:sz="4" w:space="0" w:color="auto"/>
              <w:right w:val="single" w:sz="4" w:space="0" w:color="FFFFFF" w:themeColor="background1"/>
            </w:tcBorders>
            <w:vAlign w:val="center"/>
          </w:tcPr>
          <w:p w:rsidR="00640226" w:rsidRPr="000E0764" w:rsidRDefault="00640226" w:rsidP="00640226">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53.6</w:t>
            </w:r>
          </w:p>
        </w:tc>
        <w:tc>
          <w:tcPr>
            <w:tcW w:w="1247" w:type="dxa"/>
            <w:tcBorders>
              <w:top w:val="nil"/>
              <w:left w:val="single" w:sz="4" w:space="0" w:color="FFFFFF" w:themeColor="background1"/>
              <w:bottom w:val="single" w:sz="4" w:space="0" w:color="auto"/>
              <w:right w:val="single" w:sz="4" w:space="0" w:color="FFFFFF" w:themeColor="background1"/>
            </w:tcBorders>
            <w:vAlign w:val="center"/>
          </w:tcPr>
          <w:p w:rsidR="00640226" w:rsidRPr="000E0764" w:rsidRDefault="00640226" w:rsidP="00640226">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3.</w:t>
            </w:r>
            <w:r w:rsidRPr="000E0764">
              <w:rPr>
                <w:rFonts w:ascii="Times New Roman" w:eastAsia="Times New Roman" w:hAnsi="Times New Roman" w:cs="Times New Roman"/>
                <w:color w:val="000000" w:themeColor="text1"/>
                <w:szCs w:val="24"/>
                <w:lang w:eastAsia="ru-RU"/>
              </w:rPr>
              <w:t>0</w:t>
            </w:r>
          </w:p>
        </w:tc>
        <w:tc>
          <w:tcPr>
            <w:tcW w:w="4876" w:type="dxa"/>
            <w:tcBorders>
              <w:top w:val="nil"/>
              <w:left w:val="single" w:sz="4" w:space="0" w:color="FFFFFF" w:themeColor="background1"/>
              <w:bottom w:val="single" w:sz="4" w:space="0" w:color="auto"/>
              <w:right w:val="single" w:sz="4" w:space="0" w:color="FFFFFF" w:themeColor="background1"/>
            </w:tcBorders>
          </w:tcPr>
          <w:p w:rsidR="00640226" w:rsidRPr="000E0764" w:rsidRDefault="00640226" w:rsidP="00640226">
            <w:pPr>
              <w:spacing w:after="120" w:line="240" w:lineRule="auto"/>
              <w:ind w:left="708"/>
              <w:rPr>
                <w:rFonts w:ascii="Times New Roman" w:eastAsia="Times New Roman" w:hAnsi="Times New Roman"/>
                <w:color w:val="000000"/>
                <w:lang w:eastAsia="ru-RU"/>
              </w:rPr>
            </w:pPr>
            <w:r w:rsidRPr="00640226">
              <w:rPr>
                <w:rFonts w:ascii="Times New Roman" w:eastAsia="Times New Roman" w:hAnsi="Times New Roman"/>
                <w:color w:val="000000"/>
                <w:lang w:eastAsia="ru-RU"/>
              </w:rPr>
              <w:t>Outside Russia</w:t>
            </w:r>
          </w:p>
        </w:tc>
        <w:tc>
          <w:tcPr>
            <w:tcW w:w="1247" w:type="dxa"/>
            <w:tcBorders>
              <w:top w:val="nil"/>
              <w:left w:val="single" w:sz="4" w:space="0" w:color="FFFFFF" w:themeColor="background1"/>
              <w:bottom w:val="single" w:sz="4" w:space="0" w:color="auto"/>
              <w:right w:val="single" w:sz="4" w:space="0" w:color="FFFFFF" w:themeColor="background1"/>
            </w:tcBorders>
            <w:vAlign w:val="center"/>
          </w:tcPr>
          <w:p w:rsidR="00640226" w:rsidRPr="000E0764" w:rsidRDefault="00640226" w:rsidP="00640226">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53.6</w:t>
            </w:r>
          </w:p>
        </w:tc>
        <w:tc>
          <w:tcPr>
            <w:tcW w:w="1247" w:type="dxa"/>
            <w:tcBorders>
              <w:top w:val="nil"/>
              <w:left w:val="single" w:sz="4" w:space="0" w:color="FFFFFF" w:themeColor="background1"/>
              <w:bottom w:val="single" w:sz="4" w:space="0" w:color="auto"/>
              <w:right w:val="single" w:sz="4" w:space="0" w:color="FFFFFF" w:themeColor="background1"/>
            </w:tcBorders>
            <w:vAlign w:val="center"/>
          </w:tcPr>
          <w:p w:rsidR="00640226" w:rsidRPr="000E0764" w:rsidRDefault="00640226" w:rsidP="00640226">
            <w:pPr>
              <w:spacing w:after="120" w:line="240" w:lineRule="auto"/>
              <w:jc w:val="right"/>
              <w:rPr>
                <w:rFonts w:ascii="Times New Roman" w:eastAsia="Times New Roman" w:hAnsi="Times New Roman" w:cs="Times New Roman"/>
                <w:color w:val="000000" w:themeColor="text1"/>
                <w:szCs w:val="24"/>
                <w:lang w:val="en-US" w:eastAsia="ru-RU"/>
              </w:rPr>
            </w:pPr>
            <w:r>
              <w:rPr>
                <w:rFonts w:ascii="Times New Roman" w:eastAsia="Times New Roman" w:hAnsi="Times New Roman" w:cs="Times New Roman"/>
                <w:color w:val="000000" w:themeColor="text1"/>
                <w:szCs w:val="24"/>
                <w:lang w:eastAsia="ru-RU"/>
              </w:rPr>
              <w:t>(2</w:t>
            </w:r>
            <w:r>
              <w:rPr>
                <w:rFonts w:ascii="Times New Roman" w:eastAsia="Times New Roman" w:hAnsi="Times New Roman" w:cs="Times New Roman"/>
                <w:color w:val="000000" w:themeColor="text1"/>
                <w:szCs w:val="24"/>
                <w:lang w:val="en-US" w:eastAsia="ru-RU"/>
              </w:rPr>
              <w:t>1</w:t>
            </w:r>
            <w:r>
              <w:rPr>
                <w:rFonts w:ascii="Times New Roman" w:eastAsia="Times New Roman" w:hAnsi="Times New Roman" w:cs="Times New Roman"/>
                <w:color w:val="000000" w:themeColor="text1"/>
                <w:szCs w:val="24"/>
                <w:lang w:eastAsia="ru-RU"/>
              </w:rPr>
              <w:t>.</w:t>
            </w:r>
            <w:r>
              <w:rPr>
                <w:rFonts w:ascii="Times New Roman" w:eastAsia="Times New Roman" w:hAnsi="Times New Roman" w:cs="Times New Roman"/>
                <w:color w:val="000000" w:themeColor="text1"/>
                <w:szCs w:val="24"/>
                <w:lang w:val="en-US" w:eastAsia="ru-RU"/>
              </w:rPr>
              <w:t>5)</w:t>
            </w:r>
          </w:p>
        </w:tc>
      </w:tr>
    </w:tbl>
    <w:p w:rsidR="00B9662F" w:rsidRDefault="00B9662F" w:rsidP="00B9662F">
      <w:pPr>
        <w:snapToGrid w:val="0"/>
        <w:spacing w:line="240" w:lineRule="auto"/>
        <w:jc w:val="both"/>
        <w:rPr>
          <w:rFonts w:ascii="Times New Roman" w:hAnsi="Times New Roman"/>
          <w:sz w:val="28"/>
          <w:szCs w:val="28"/>
        </w:rPr>
      </w:pPr>
    </w:p>
    <w:p w:rsidR="00640226" w:rsidRPr="00640226" w:rsidRDefault="00640226" w:rsidP="00B9662F">
      <w:pPr>
        <w:snapToGrid w:val="0"/>
        <w:spacing w:line="240" w:lineRule="auto"/>
        <w:jc w:val="both"/>
        <w:rPr>
          <w:rFonts w:ascii="Times New Roman" w:hAnsi="Times New Roman"/>
          <w:sz w:val="28"/>
          <w:szCs w:val="28"/>
          <w:lang w:val="en-US"/>
        </w:rPr>
      </w:pPr>
      <w:r w:rsidRPr="00640226">
        <w:rPr>
          <w:rFonts w:ascii="Times New Roman" w:hAnsi="Times New Roman"/>
          <w:sz w:val="28"/>
          <w:szCs w:val="28"/>
          <w:lang w:val="en-US"/>
        </w:rPr>
        <w:t>In the first quarter of 202</w:t>
      </w:r>
      <w:r>
        <w:rPr>
          <w:rFonts w:ascii="Times New Roman" w:hAnsi="Times New Roman"/>
          <w:sz w:val="28"/>
          <w:szCs w:val="28"/>
          <w:lang w:val="en-US"/>
        </w:rPr>
        <w:t>1</w:t>
      </w:r>
      <w:r w:rsidRPr="00640226">
        <w:rPr>
          <w:rFonts w:ascii="Times New Roman" w:hAnsi="Times New Roman"/>
          <w:sz w:val="28"/>
          <w:szCs w:val="28"/>
          <w:lang w:val="en-US"/>
        </w:rPr>
        <w:t>,</w:t>
      </w:r>
      <w:r>
        <w:rPr>
          <w:rFonts w:ascii="Times New Roman" w:hAnsi="Times New Roman"/>
          <w:sz w:val="28"/>
          <w:szCs w:val="28"/>
          <w:lang w:val="en-US"/>
        </w:rPr>
        <w:t xml:space="preserve"> EBITDA increased by 65.8% quarter-on-quarter to RUB 314.4 bln.</w:t>
      </w:r>
    </w:p>
    <w:p w:rsidR="009619C3" w:rsidRPr="00640226" w:rsidRDefault="00F7336A" w:rsidP="009619C3">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In addition to</w:t>
      </w:r>
      <w:r w:rsidR="009619C3" w:rsidRPr="009619C3">
        <w:rPr>
          <w:rFonts w:ascii="Times New Roman" w:hAnsi="Times New Roman"/>
          <w:sz w:val="28"/>
          <w:szCs w:val="28"/>
          <w:lang w:val="en-US"/>
        </w:rPr>
        <w:t xml:space="preserve"> </w:t>
      </w:r>
      <w:r w:rsidR="009619C3">
        <w:rPr>
          <w:rFonts w:ascii="Times New Roman" w:hAnsi="Times New Roman"/>
          <w:sz w:val="28"/>
          <w:szCs w:val="28"/>
          <w:lang w:val="en-US"/>
        </w:rPr>
        <w:t>higher</w:t>
      </w:r>
      <w:r w:rsidR="009619C3" w:rsidRPr="009619C3">
        <w:rPr>
          <w:rFonts w:ascii="Times New Roman" w:hAnsi="Times New Roman"/>
          <w:sz w:val="28"/>
          <w:szCs w:val="28"/>
          <w:lang w:val="en-US"/>
        </w:rPr>
        <w:t xml:space="preserve"> </w:t>
      </w:r>
      <w:r>
        <w:rPr>
          <w:rFonts w:ascii="Times New Roman" w:hAnsi="Times New Roman"/>
          <w:sz w:val="28"/>
          <w:szCs w:val="28"/>
          <w:lang w:val="en-US"/>
        </w:rPr>
        <w:t xml:space="preserve">crude </w:t>
      </w:r>
      <w:r w:rsidR="009619C3">
        <w:rPr>
          <w:rFonts w:ascii="Times New Roman" w:hAnsi="Times New Roman"/>
          <w:sz w:val="28"/>
          <w:szCs w:val="28"/>
          <w:lang w:val="en-US"/>
        </w:rPr>
        <w:t xml:space="preserve">oil </w:t>
      </w:r>
      <w:r w:rsidR="009619C3" w:rsidRPr="009619C3">
        <w:rPr>
          <w:rFonts w:ascii="Times New Roman" w:hAnsi="Times New Roman"/>
          <w:sz w:val="28"/>
          <w:szCs w:val="28"/>
          <w:lang w:val="en-US"/>
        </w:rPr>
        <w:t>prices,</w:t>
      </w:r>
      <w:r w:rsidR="009619C3">
        <w:rPr>
          <w:rFonts w:ascii="Times New Roman" w:hAnsi="Times New Roman"/>
          <w:sz w:val="28"/>
          <w:szCs w:val="28"/>
          <w:lang w:val="en-US"/>
        </w:rPr>
        <w:t xml:space="preserve"> EBITDA of </w:t>
      </w:r>
      <w:r>
        <w:rPr>
          <w:rFonts w:ascii="Times New Roman" w:hAnsi="Times New Roman"/>
          <w:sz w:val="28"/>
          <w:szCs w:val="28"/>
          <w:lang w:val="en-US"/>
        </w:rPr>
        <w:t xml:space="preserve">the </w:t>
      </w:r>
      <w:r w:rsidR="009619C3" w:rsidRPr="009619C3">
        <w:rPr>
          <w:rFonts w:ascii="Times New Roman" w:hAnsi="Times New Roman"/>
          <w:sz w:val="28"/>
          <w:szCs w:val="28"/>
          <w:lang w:val="en-US"/>
        </w:rPr>
        <w:t>Exploration and production segment</w:t>
      </w:r>
      <w:r w:rsidR="009619C3">
        <w:rPr>
          <w:rFonts w:ascii="Times New Roman" w:hAnsi="Times New Roman"/>
          <w:sz w:val="28"/>
          <w:szCs w:val="28"/>
          <w:lang w:val="en-US"/>
        </w:rPr>
        <w:t xml:space="preserve"> in Russia was positively affected by higher </w:t>
      </w:r>
      <w:r w:rsidR="00386499">
        <w:rPr>
          <w:rFonts w:ascii="Times New Roman" w:hAnsi="Times New Roman"/>
          <w:sz w:val="28"/>
          <w:szCs w:val="28"/>
          <w:lang w:val="en-US"/>
        </w:rPr>
        <w:t xml:space="preserve">crude </w:t>
      </w:r>
      <w:r w:rsidR="009619C3">
        <w:rPr>
          <w:rFonts w:ascii="Times New Roman" w:hAnsi="Times New Roman"/>
          <w:sz w:val="28"/>
          <w:szCs w:val="28"/>
          <w:lang w:val="en-US"/>
        </w:rPr>
        <w:t xml:space="preserve">oil production volumes, lower unit extraction expenses, as well as higher positive </w:t>
      </w:r>
      <w:r w:rsidR="009619C3" w:rsidRPr="009619C3">
        <w:rPr>
          <w:rFonts w:ascii="Times New Roman" w:hAnsi="Times New Roman"/>
          <w:sz w:val="28"/>
          <w:szCs w:val="28"/>
          <w:lang w:val="en-US"/>
        </w:rPr>
        <w:t xml:space="preserve">time lag effect of </w:t>
      </w:r>
      <w:r w:rsidR="009619C3">
        <w:rPr>
          <w:rFonts w:ascii="Times New Roman" w:hAnsi="Times New Roman"/>
          <w:sz w:val="28"/>
          <w:szCs w:val="28"/>
          <w:lang w:val="en-US"/>
        </w:rPr>
        <w:t xml:space="preserve">export </w:t>
      </w:r>
      <w:r w:rsidR="009619C3" w:rsidRPr="009619C3">
        <w:rPr>
          <w:rFonts w:ascii="Times New Roman" w:hAnsi="Times New Roman"/>
          <w:sz w:val="28"/>
          <w:szCs w:val="28"/>
          <w:lang w:val="en-US"/>
        </w:rPr>
        <w:t>dut</w:t>
      </w:r>
      <w:r w:rsidR="009619C3">
        <w:rPr>
          <w:rFonts w:ascii="Times New Roman" w:hAnsi="Times New Roman"/>
          <w:sz w:val="28"/>
          <w:szCs w:val="28"/>
          <w:lang w:val="en-US"/>
        </w:rPr>
        <w:t>y and MET.</w:t>
      </w:r>
      <w:r w:rsidR="009619C3" w:rsidRPr="009619C3">
        <w:rPr>
          <w:rFonts w:ascii="Times New Roman" w:hAnsi="Times New Roman"/>
          <w:sz w:val="28"/>
          <w:szCs w:val="28"/>
          <w:lang w:val="en-US"/>
        </w:rPr>
        <w:t xml:space="preserve"> </w:t>
      </w:r>
      <w:r w:rsidR="009619C3" w:rsidRPr="00640226">
        <w:rPr>
          <w:rFonts w:ascii="Times New Roman" w:hAnsi="Times New Roman"/>
          <w:sz w:val="28"/>
          <w:szCs w:val="28"/>
          <w:lang w:val="en-US"/>
        </w:rPr>
        <w:t>The growth was constrained by</w:t>
      </w:r>
      <w:r w:rsidR="009619C3">
        <w:rPr>
          <w:rFonts w:ascii="Times New Roman" w:hAnsi="Times New Roman"/>
          <w:sz w:val="28"/>
          <w:szCs w:val="28"/>
          <w:lang w:val="en-US"/>
        </w:rPr>
        <w:t xml:space="preserve"> </w:t>
      </w:r>
      <w:r w:rsidR="009619C3" w:rsidRPr="009619C3">
        <w:rPr>
          <w:rFonts w:ascii="Times New Roman" w:hAnsi="Times New Roman"/>
          <w:sz w:val="28"/>
          <w:szCs w:val="28"/>
          <w:lang w:val="en-US"/>
        </w:rPr>
        <w:t>elimination of tax incentives for high-viscous crude oil</w:t>
      </w:r>
      <w:r w:rsidR="009619C3">
        <w:rPr>
          <w:rFonts w:ascii="Times New Roman" w:hAnsi="Times New Roman"/>
          <w:sz w:val="28"/>
          <w:szCs w:val="28"/>
          <w:lang w:val="en-US"/>
        </w:rPr>
        <w:t xml:space="preserve"> and stronger ruble</w:t>
      </w:r>
      <w:r w:rsidR="009619C3" w:rsidRPr="00640226">
        <w:rPr>
          <w:rFonts w:ascii="Times New Roman" w:hAnsi="Times New Roman"/>
          <w:sz w:val="28"/>
          <w:szCs w:val="28"/>
          <w:lang w:val="en-US"/>
        </w:rPr>
        <w:t>.</w:t>
      </w:r>
      <w:r w:rsidR="009619C3">
        <w:rPr>
          <w:rFonts w:ascii="Times New Roman" w:hAnsi="Times New Roman"/>
          <w:sz w:val="28"/>
          <w:szCs w:val="28"/>
          <w:lang w:val="en-US"/>
        </w:rPr>
        <w:t xml:space="preserve"> Outside Russia, EBITDA growth was mainly attributable to higher </w:t>
      </w:r>
      <w:r>
        <w:rPr>
          <w:rFonts w:ascii="Times New Roman" w:hAnsi="Times New Roman"/>
          <w:sz w:val="28"/>
          <w:szCs w:val="28"/>
          <w:lang w:val="en-US"/>
        </w:rPr>
        <w:t xml:space="preserve">crude </w:t>
      </w:r>
      <w:r w:rsidR="009619C3">
        <w:rPr>
          <w:rFonts w:ascii="Times New Roman" w:hAnsi="Times New Roman"/>
          <w:sz w:val="28"/>
          <w:szCs w:val="28"/>
          <w:lang w:val="en-US"/>
        </w:rPr>
        <w:t xml:space="preserve">oil prices. </w:t>
      </w:r>
    </w:p>
    <w:p w:rsidR="009619C3" w:rsidRPr="00B144F4" w:rsidRDefault="009619C3" w:rsidP="00B9662F">
      <w:pPr>
        <w:snapToGrid w:val="0"/>
        <w:spacing w:line="240" w:lineRule="auto"/>
        <w:jc w:val="both"/>
        <w:rPr>
          <w:rFonts w:ascii="Times New Roman" w:hAnsi="Times New Roman"/>
          <w:sz w:val="28"/>
          <w:szCs w:val="28"/>
          <w:lang w:val="en-US"/>
        </w:rPr>
      </w:pPr>
      <w:r w:rsidRPr="009619C3">
        <w:rPr>
          <w:rFonts w:ascii="Times New Roman" w:hAnsi="Times New Roman"/>
          <w:sz w:val="28"/>
          <w:szCs w:val="28"/>
          <w:lang w:val="en-US"/>
        </w:rPr>
        <w:t xml:space="preserve">The main </w:t>
      </w:r>
      <w:r w:rsidR="00F7336A">
        <w:rPr>
          <w:rFonts w:ascii="Times New Roman" w:hAnsi="Times New Roman"/>
          <w:sz w:val="28"/>
          <w:szCs w:val="28"/>
          <w:lang w:val="en-US"/>
        </w:rPr>
        <w:t>growth</w:t>
      </w:r>
      <w:r w:rsidRPr="009619C3">
        <w:rPr>
          <w:rFonts w:ascii="Times New Roman" w:hAnsi="Times New Roman"/>
          <w:sz w:val="28"/>
          <w:szCs w:val="28"/>
          <w:lang w:val="en-US"/>
        </w:rPr>
        <w:t xml:space="preserve"> factors for EBITDA in the Refining, Marketing and Distribution segment were</w:t>
      </w:r>
      <w:r w:rsidRPr="009619C3">
        <w:rPr>
          <w:lang w:val="en-US"/>
        </w:rPr>
        <w:t xml:space="preserve"> </w:t>
      </w:r>
      <w:r w:rsidRPr="009619C3">
        <w:rPr>
          <w:rFonts w:ascii="Times New Roman" w:hAnsi="Times New Roman"/>
          <w:sz w:val="28"/>
          <w:szCs w:val="28"/>
          <w:lang w:val="en-US"/>
        </w:rPr>
        <w:t>the specifics of accounting for hedging operations</w:t>
      </w:r>
      <w:r w:rsidR="00F7336A">
        <w:rPr>
          <w:rFonts w:ascii="Times New Roman" w:hAnsi="Times New Roman"/>
          <w:sz w:val="28"/>
          <w:szCs w:val="28"/>
          <w:lang w:val="en-US"/>
        </w:rPr>
        <w:t xml:space="preserve"> as part of the international trading business</w:t>
      </w:r>
      <w:r w:rsidRPr="009619C3">
        <w:rPr>
          <w:rFonts w:ascii="Times New Roman" w:hAnsi="Times New Roman"/>
          <w:sz w:val="28"/>
          <w:szCs w:val="28"/>
          <w:lang w:val="en-US"/>
        </w:rPr>
        <w:t>,</w:t>
      </w:r>
      <w:r>
        <w:rPr>
          <w:rFonts w:ascii="Times New Roman" w:hAnsi="Times New Roman"/>
          <w:sz w:val="28"/>
          <w:szCs w:val="28"/>
          <w:lang w:val="en-US"/>
        </w:rPr>
        <w:t xml:space="preserve"> higher refining margins and </w:t>
      </w:r>
      <w:r w:rsidR="00F7336A">
        <w:rPr>
          <w:rFonts w:ascii="Times New Roman" w:hAnsi="Times New Roman"/>
          <w:sz w:val="28"/>
          <w:szCs w:val="28"/>
          <w:lang w:val="en-US"/>
        </w:rPr>
        <w:t xml:space="preserve">refinery </w:t>
      </w:r>
      <w:r>
        <w:rPr>
          <w:rFonts w:ascii="Times New Roman" w:hAnsi="Times New Roman"/>
          <w:sz w:val="28"/>
          <w:szCs w:val="28"/>
          <w:lang w:val="en-US"/>
        </w:rPr>
        <w:t xml:space="preserve">throughput volumes, as well as </w:t>
      </w:r>
      <w:r w:rsidRPr="009619C3">
        <w:rPr>
          <w:rFonts w:ascii="Times New Roman" w:hAnsi="Times New Roman"/>
          <w:sz w:val="28"/>
          <w:szCs w:val="28"/>
          <w:lang w:val="en-US"/>
        </w:rPr>
        <w:t>inventory effect at the refineries</w:t>
      </w:r>
      <w:r>
        <w:rPr>
          <w:rFonts w:ascii="Times New Roman" w:hAnsi="Times New Roman"/>
          <w:sz w:val="28"/>
          <w:szCs w:val="28"/>
          <w:lang w:val="en-US"/>
        </w:rPr>
        <w:t xml:space="preserve"> in Russia and </w:t>
      </w:r>
      <w:r w:rsidR="00335816">
        <w:rPr>
          <w:rFonts w:ascii="Times New Roman" w:hAnsi="Times New Roman"/>
          <w:sz w:val="28"/>
          <w:szCs w:val="28"/>
          <w:lang w:val="en-US"/>
        </w:rPr>
        <w:t>Europe</w:t>
      </w:r>
      <w:r>
        <w:rPr>
          <w:rFonts w:ascii="Times New Roman" w:hAnsi="Times New Roman"/>
          <w:sz w:val="28"/>
          <w:szCs w:val="28"/>
          <w:lang w:val="en-US"/>
        </w:rPr>
        <w:t>.</w:t>
      </w:r>
      <w:r w:rsidRPr="009619C3">
        <w:rPr>
          <w:rFonts w:ascii="Times New Roman" w:hAnsi="Times New Roman"/>
          <w:sz w:val="28"/>
          <w:szCs w:val="28"/>
          <w:lang w:val="en-US"/>
        </w:rPr>
        <w:t xml:space="preserve"> </w:t>
      </w:r>
      <w:r w:rsidR="00335816">
        <w:rPr>
          <w:rFonts w:ascii="Times New Roman" w:hAnsi="Times New Roman"/>
          <w:sz w:val="28"/>
          <w:szCs w:val="28"/>
          <w:lang w:val="en-US"/>
        </w:rPr>
        <w:t xml:space="preserve">EBITDA </w:t>
      </w:r>
      <w:r>
        <w:rPr>
          <w:rFonts w:ascii="Times New Roman" w:hAnsi="Times New Roman"/>
          <w:sz w:val="28"/>
          <w:szCs w:val="28"/>
          <w:lang w:val="en-US"/>
        </w:rPr>
        <w:t xml:space="preserve">growth </w:t>
      </w:r>
      <w:r w:rsidR="00335816">
        <w:rPr>
          <w:rFonts w:ascii="Times New Roman" w:hAnsi="Times New Roman"/>
          <w:sz w:val="28"/>
          <w:szCs w:val="28"/>
          <w:lang w:val="en-US"/>
        </w:rPr>
        <w:t xml:space="preserve">in Russia </w:t>
      </w:r>
      <w:r>
        <w:rPr>
          <w:rFonts w:ascii="Times New Roman" w:hAnsi="Times New Roman"/>
          <w:sz w:val="28"/>
          <w:szCs w:val="28"/>
          <w:lang w:val="en-US"/>
        </w:rPr>
        <w:t xml:space="preserve">was also supported by better results </w:t>
      </w:r>
      <w:r w:rsidR="00335816">
        <w:rPr>
          <w:rFonts w:ascii="Times New Roman" w:hAnsi="Times New Roman"/>
          <w:sz w:val="28"/>
          <w:szCs w:val="28"/>
          <w:lang w:val="en-US"/>
        </w:rPr>
        <w:t>of</w:t>
      </w:r>
      <w:r>
        <w:rPr>
          <w:rFonts w:ascii="Times New Roman" w:hAnsi="Times New Roman"/>
          <w:sz w:val="28"/>
          <w:szCs w:val="28"/>
          <w:lang w:val="en-US"/>
        </w:rPr>
        <w:t xml:space="preserve"> </w:t>
      </w:r>
      <w:r w:rsidR="00335816">
        <w:rPr>
          <w:rFonts w:ascii="Times New Roman" w:hAnsi="Times New Roman"/>
          <w:sz w:val="28"/>
          <w:szCs w:val="28"/>
          <w:lang w:val="en-US"/>
        </w:rPr>
        <w:t xml:space="preserve">the </w:t>
      </w:r>
      <w:r>
        <w:rPr>
          <w:rFonts w:ascii="Times New Roman" w:hAnsi="Times New Roman"/>
          <w:sz w:val="28"/>
          <w:szCs w:val="28"/>
          <w:lang w:val="en-US"/>
        </w:rPr>
        <w:t>petrochemical and power</w:t>
      </w:r>
      <w:r w:rsidRPr="00335816">
        <w:rPr>
          <w:rFonts w:ascii="Times New Roman" w:hAnsi="Times New Roman"/>
          <w:sz w:val="28"/>
          <w:szCs w:val="28"/>
          <w:lang w:val="en-US"/>
        </w:rPr>
        <w:t xml:space="preserve"> </w:t>
      </w:r>
      <w:r w:rsidR="00335816" w:rsidRPr="00335816">
        <w:rPr>
          <w:rFonts w:ascii="Times New Roman" w:hAnsi="Times New Roman"/>
          <w:sz w:val="28"/>
          <w:szCs w:val="28"/>
          <w:lang w:val="en-US"/>
        </w:rPr>
        <w:t xml:space="preserve">generation </w:t>
      </w:r>
      <w:r w:rsidRPr="009619C3">
        <w:rPr>
          <w:rFonts w:ascii="Times New Roman" w:hAnsi="Times New Roman"/>
          <w:sz w:val="28"/>
          <w:szCs w:val="28"/>
          <w:lang w:val="en-US"/>
        </w:rPr>
        <w:t>businesses</w:t>
      </w:r>
      <w:r w:rsidR="00C01049">
        <w:rPr>
          <w:rFonts w:ascii="Times New Roman" w:hAnsi="Times New Roman"/>
          <w:sz w:val="28"/>
          <w:szCs w:val="28"/>
          <w:lang w:val="en-US"/>
        </w:rPr>
        <w:t xml:space="preserve">. </w:t>
      </w:r>
      <w:r w:rsidR="00386499">
        <w:rPr>
          <w:rFonts w:ascii="Times New Roman" w:hAnsi="Times New Roman"/>
          <w:sz w:val="28"/>
          <w:szCs w:val="28"/>
          <w:lang w:val="en-US"/>
        </w:rPr>
        <w:t>At the same time, t</w:t>
      </w:r>
      <w:r w:rsidR="00C01049" w:rsidRPr="00640226">
        <w:rPr>
          <w:rFonts w:ascii="Times New Roman" w:hAnsi="Times New Roman"/>
          <w:sz w:val="28"/>
          <w:szCs w:val="28"/>
          <w:lang w:val="en-US"/>
        </w:rPr>
        <w:t>he</w:t>
      </w:r>
      <w:r w:rsidR="00C01049" w:rsidRPr="00B144F4">
        <w:rPr>
          <w:rFonts w:ascii="Times New Roman" w:hAnsi="Times New Roman"/>
          <w:sz w:val="28"/>
          <w:szCs w:val="28"/>
          <w:lang w:val="en-US"/>
        </w:rPr>
        <w:t xml:space="preserve"> </w:t>
      </w:r>
      <w:r w:rsidR="00C01049" w:rsidRPr="00640226">
        <w:rPr>
          <w:rFonts w:ascii="Times New Roman" w:hAnsi="Times New Roman"/>
          <w:sz w:val="28"/>
          <w:szCs w:val="28"/>
          <w:lang w:val="en-US"/>
        </w:rPr>
        <w:t>growth</w:t>
      </w:r>
      <w:r w:rsidR="00C01049" w:rsidRPr="00B144F4">
        <w:rPr>
          <w:rFonts w:ascii="Times New Roman" w:hAnsi="Times New Roman"/>
          <w:sz w:val="28"/>
          <w:szCs w:val="28"/>
          <w:lang w:val="en-US"/>
        </w:rPr>
        <w:t xml:space="preserve"> </w:t>
      </w:r>
      <w:r w:rsidR="00C01049" w:rsidRPr="00640226">
        <w:rPr>
          <w:rFonts w:ascii="Times New Roman" w:hAnsi="Times New Roman"/>
          <w:sz w:val="28"/>
          <w:szCs w:val="28"/>
          <w:lang w:val="en-US"/>
        </w:rPr>
        <w:t>was</w:t>
      </w:r>
      <w:r w:rsidR="00C01049" w:rsidRPr="00B144F4">
        <w:rPr>
          <w:rFonts w:ascii="Times New Roman" w:hAnsi="Times New Roman"/>
          <w:sz w:val="28"/>
          <w:szCs w:val="28"/>
          <w:lang w:val="en-US"/>
        </w:rPr>
        <w:t xml:space="preserve"> </w:t>
      </w:r>
      <w:r w:rsidR="00C01049" w:rsidRPr="00640226">
        <w:rPr>
          <w:rFonts w:ascii="Times New Roman" w:hAnsi="Times New Roman"/>
          <w:sz w:val="28"/>
          <w:szCs w:val="28"/>
          <w:lang w:val="en-US"/>
        </w:rPr>
        <w:t>constrained</w:t>
      </w:r>
      <w:r w:rsidR="00C01049" w:rsidRPr="00B144F4">
        <w:rPr>
          <w:rFonts w:ascii="Times New Roman" w:hAnsi="Times New Roman"/>
          <w:sz w:val="28"/>
          <w:szCs w:val="28"/>
          <w:lang w:val="en-US"/>
        </w:rPr>
        <w:t xml:space="preserve"> </w:t>
      </w:r>
      <w:r w:rsidR="00C01049" w:rsidRPr="00640226">
        <w:rPr>
          <w:rFonts w:ascii="Times New Roman" w:hAnsi="Times New Roman"/>
          <w:sz w:val="28"/>
          <w:szCs w:val="28"/>
          <w:lang w:val="en-US"/>
        </w:rPr>
        <w:t>by</w:t>
      </w:r>
      <w:r w:rsidR="00C01049" w:rsidRPr="00B144F4">
        <w:rPr>
          <w:rFonts w:ascii="Times New Roman" w:hAnsi="Times New Roman"/>
          <w:sz w:val="28"/>
          <w:szCs w:val="28"/>
          <w:lang w:val="en-US"/>
        </w:rPr>
        <w:t xml:space="preserve"> </w:t>
      </w:r>
      <w:r w:rsidR="00C01049" w:rsidRPr="00C01049">
        <w:rPr>
          <w:rFonts w:ascii="Times New Roman" w:hAnsi="Times New Roman"/>
          <w:sz w:val="28"/>
          <w:szCs w:val="28"/>
          <w:lang w:val="en-US"/>
        </w:rPr>
        <w:t>worse</w:t>
      </w:r>
      <w:r w:rsidR="00C01049" w:rsidRPr="00B144F4">
        <w:rPr>
          <w:rFonts w:ascii="Times New Roman" w:hAnsi="Times New Roman"/>
          <w:sz w:val="28"/>
          <w:szCs w:val="28"/>
          <w:lang w:val="en-US"/>
        </w:rPr>
        <w:t xml:space="preserve"> </w:t>
      </w:r>
      <w:r w:rsidR="00335816" w:rsidRPr="00C01049">
        <w:rPr>
          <w:rFonts w:ascii="Times New Roman" w:hAnsi="Times New Roman"/>
          <w:sz w:val="28"/>
          <w:szCs w:val="28"/>
          <w:lang w:val="en-US"/>
        </w:rPr>
        <w:t xml:space="preserve">results </w:t>
      </w:r>
      <w:r w:rsidR="00335816">
        <w:rPr>
          <w:rFonts w:ascii="Times New Roman" w:hAnsi="Times New Roman"/>
          <w:sz w:val="28"/>
          <w:szCs w:val="28"/>
          <w:lang w:val="en-US"/>
        </w:rPr>
        <w:t xml:space="preserve">of the </w:t>
      </w:r>
      <w:r w:rsidR="00C01049" w:rsidRPr="00C01049">
        <w:rPr>
          <w:rFonts w:ascii="Times New Roman" w:hAnsi="Times New Roman"/>
          <w:sz w:val="28"/>
          <w:szCs w:val="28"/>
          <w:lang w:val="en-US"/>
        </w:rPr>
        <w:t>retail</w:t>
      </w:r>
      <w:r w:rsidR="00C01049" w:rsidRPr="00B144F4">
        <w:rPr>
          <w:rFonts w:ascii="Times New Roman" w:hAnsi="Times New Roman"/>
          <w:sz w:val="28"/>
          <w:szCs w:val="28"/>
          <w:lang w:val="en-US"/>
        </w:rPr>
        <w:t xml:space="preserve"> </w:t>
      </w:r>
      <w:r w:rsidR="00C01049" w:rsidRPr="00C01049">
        <w:rPr>
          <w:rFonts w:ascii="Times New Roman" w:hAnsi="Times New Roman"/>
          <w:sz w:val="28"/>
          <w:szCs w:val="28"/>
          <w:lang w:val="en-US"/>
        </w:rPr>
        <w:t>business</w:t>
      </w:r>
      <w:r w:rsidR="00C01049" w:rsidRPr="00B144F4">
        <w:rPr>
          <w:rFonts w:ascii="Times New Roman" w:hAnsi="Times New Roman"/>
          <w:sz w:val="28"/>
          <w:szCs w:val="28"/>
          <w:lang w:val="en-US"/>
        </w:rPr>
        <w:t>.</w:t>
      </w:r>
    </w:p>
    <w:p w:rsidR="00C01049" w:rsidRPr="00C01049" w:rsidRDefault="00C01049" w:rsidP="00C01049">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 xml:space="preserve">As compared to the first quarter of 2020, EBITDA more than doubled mainly as a result of higher </w:t>
      </w:r>
      <w:r w:rsidR="00335816">
        <w:rPr>
          <w:rFonts w:ascii="Times New Roman" w:hAnsi="Times New Roman"/>
          <w:sz w:val="28"/>
          <w:szCs w:val="28"/>
          <w:lang w:val="en-US"/>
        </w:rPr>
        <w:t xml:space="preserve">crude </w:t>
      </w:r>
      <w:r>
        <w:rPr>
          <w:rFonts w:ascii="Times New Roman" w:hAnsi="Times New Roman"/>
          <w:sz w:val="28"/>
          <w:szCs w:val="28"/>
          <w:lang w:val="en-US"/>
        </w:rPr>
        <w:t xml:space="preserve">oil prices, ruble devaluation, positive </w:t>
      </w:r>
      <w:r w:rsidRPr="009619C3">
        <w:rPr>
          <w:rFonts w:ascii="Times New Roman" w:hAnsi="Times New Roman"/>
          <w:sz w:val="28"/>
          <w:szCs w:val="28"/>
          <w:lang w:val="en-US"/>
        </w:rPr>
        <w:t xml:space="preserve">time lag effect of </w:t>
      </w:r>
      <w:r>
        <w:rPr>
          <w:rFonts w:ascii="Times New Roman" w:hAnsi="Times New Roman"/>
          <w:sz w:val="28"/>
          <w:szCs w:val="28"/>
          <w:lang w:val="en-US"/>
        </w:rPr>
        <w:t xml:space="preserve">export </w:t>
      </w:r>
      <w:r w:rsidRPr="009619C3">
        <w:rPr>
          <w:rFonts w:ascii="Times New Roman" w:hAnsi="Times New Roman"/>
          <w:sz w:val="28"/>
          <w:szCs w:val="28"/>
          <w:lang w:val="en-US"/>
        </w:rPr>
        <w:t>dut</w:t>
      </w:r>
      <w:r>
        <w:rPr>
          <w:rFonts w:ascii="Times New Roman" w:hAnsi="Times New Roman"/>
          <w:sz w:val="28"/>
          <w:szCs w:val="28"/>
          <w:lang w:val="en-US"/>
        </w:rPr>
        <w:t xml:space="preserve">y and MET, as well as </w:t>
      </w:r>
      <w:r w:rsidRPr="009619C3">
        <w:rPr>
          <w:rFonts w:ascii="Times New Roman" w:hAnsi="Times New Roman"/>
          <w:sz w:val="28"/>
          <w:szCs w:val="28"/>
          <w:lang w:val="en-US"/>
        </w:rPr>
        <w:t>inventory effect</w:t>
      </w:r>
      <w:r w:rsidRPr="00C01049">
        <w:rPr>
          <w:rFonts w:ascii="Times New Roman" w:hAnsi="Times New Roman"/>
          <w:sz w:val="28"/>
          <w:szCs w:val="28"/>
          <w:lang w:val="en-US"/>
        </w:rPr>
        <w:t xml:space="preserve"> </w:t>
      </w:r>
      <w:r w:rsidRPr="009619C3">
        <w:rPr>
          <w:rFonts w:ascii="Times New Roman" w:hAnsi="Times New Roman"/>
          <w:sz w:val="28"/>
          <w:szCs w:val="28"/>
          <w:lang w:val="en-US"/>
        </w:rPr>
        <w:t>at the refineries</w:t>
      </w:r>
      <w:r>
        <w:rPr>
          <w:rFonts w:ascii="Times New Roman" w:hAnsi="Times New Roman"/>
          <w:sz w:val="28"/>
          <w:szCs w:val="28"/>
          <w:lang w:val="en-US"/>
        </w:rPr>
        <w:t xml:space="preserve"> and better results </w:t>
      </w:r>
      <w:r w:rsidR="00335816">
        <w:rPr>
          <w:rFonts w:ascii="Times New Roman" w:hAnsi="Times New Roman"/>
          <w:sz w:val="28"/>
          <w:szCs w:val="28"/>
          <w:lang w:val="en-US"/>
        </w:rPr>
        <w:t>of the</w:t>
      </w:r>
      <w:r>
        <w:rPr>
          <w:rFonts w:ascii="Times New Roman" w:hAnsi="Times New Roman"/>
          <w:sz w:val="28"/>
          <w:szCs w:val="28"/>
          <w:lang w:val="en-US"/>
        </w:rPr>
        <w:t xml:space="preserve"> international trading</w:t>
      </w:r>
      <w:r w:rsidR="00335816">
        <w:rPr>
          <w:rFonts w:ascii="Times New Roman" w:hAnsi="Times New Roman"/>
          <w:sz w:val="28"/>
          <w:szCs w:val="28"/>
          <w:lang w:val="en-US"/>
        </w:rPr>
        <w:t xml:space="preserve"> business</w:t>
      </w:r>
      <w:r>
        <w:rPr>
          <w:rFonts w:ascii="Times New Roman" w:hAnsi="Times New Roman"/>
          <w:sz w:val="28"/>
          <w:szCs w:val="28"/>
          <w:lang w:val="en-US"/>
        </w:rPr>
        <w:t xml:space="preserve">. </w:t>
      </w:r>
      <w:r w:rsidR="00335816">
        <w:rPr>
          <w:rFonts w:ascii="Times New Roman" w:hAnsi="Times New Roman"/>
          <w:sz w:val="28"/>
          <w:szCs w:val="28"/>
          <w:lang w:val="en-US"/>
        </w:rPr>
        <w:t xml:space="preserve">At the same time, </w:t>
      </w:r>
      <w:r>
        <w:rPr>
          <w:rFonts w:ascii="Times New Roman" w:hAnsi="Times New Roman"/>
          <w:sz w:val="28"/>
          <w:szCs w:val="28"/>
          <w:lang w:val="en-US"/>
        </w:rPr>
        <w:t>EBITDA</w:t>
      </w:r>
      <w:r w:rsidRPr="00C01049">
        <w:rPr>
          <w:rFonts w:ascii="Times New Roman" w:hAnsi="Times New Roman"/>
          <w:sz w:val="28"/>
          <w:szCs w:val="28"/>
          <w:lang w:val="en-US"/>
        </w:rPr>
        <w:t xml:space="preserve"> </w:t>
      </w:r>
      <w:r w:rsidRPr="00640226">
        <w:rPr>
          <w:rFonts w:ascii="Times New Roman" w:hAnsi="Times New Roman"/>
          <w:sz w:val="28"/>
          <w:szCs w:val="28"/>
          <w:lang w:val="en-US"/>
        </w:rPr>
        <w:t>growth</w:t>
      </w:r>
      <w:r w:rsidRPr="00C01049">
        <w:rPr>
          <w:rFonts w:ascii="Times New Roman" w:hAnsi="Times New Roman"/>
          <w:sz w:val="28"/>
          <w:szCs w:val="28"/>
          <w:lang w:val="en-US"/>
        </w:rPr>
        <w:t xml:space="preserve"> </w:t>
      </w:r>
      <w:r w:rsidRPr="00640226">
        <w:rPr>
          <w:rFonts w:ascii="Times New Roman" w:hAnsi="Times New Roman"/>
          <w:sz w:val="28"/>
          <w:szCs w:val="28"/>
          <w:lang w:val="en-US"/>
        </w:rPr>
        <w:t>was</w:t>
      </w:r>
      <w:r w:rsidRPr="00C01049">
        <w:rPr>
          <w:rFonts w:ascii="Times New Roman" w:hAnsi="Times New Roman"/>
          <w:sz w:val="28"/>
          <w:szCs w:val="28"/>
          <w:lang w:val="en-US"/>
        </w:rPr>
        <w:t xml:space="preserve"> </w:t>
      </w:r>
      <w:r w:rsidRPr="00640226">
        <w:rPr>
          <w:rFonts w:ascii="Times New Roman" w:hAnsi="Times New Roman"/>
          <w:sz w:val="28"/>
          <w:szCs w:val="28"/>
          <w:lang w:val="en-US"/>
        </w:rPr>
        <w:t>constrained</w:t>
      </w:r>
      <w:r w:rsidRPr="00C01049">
        <w:rPr>
          <w:rFonts w:ascii="Times New Roman" w:hAnsi="Times New Roman"/>
          <w:sz w:val="28"/>
          <w:szCs w:val="28"/>
          <w:lang w:val="en-US"/>
        </w:rPr>
        <w:t xml:space="preserve"> </w:t>
      </w:r>
      <w:r w:rsidRPr="00640226">
        <w:rPr>
          <w:rFonts w:ascii="Times New Roman" w:hAnsi="Times New Roman"/>
          <w:sz w:val="28"/>
          <w:szCs w:val="28"/>
          <w:lang w:val="en-US"/>
        </w:rPr>
        <w:t>by</w:t>
      </w:r>
      <w:r w:rsidRPr="00C01049">
        <w:rPr>
          <w:rFonts w:ascii="Times New Roman" w:hAnsi="Times New Roman"/>
          <w:sz w:val="28"/>
          <w:szCs w:val="28"/>
          <w:lang w:val="en-US"/>
        </w:rPr>
        <w:t xml:space="preserve"> </w:t>
      </w:r>
      <w:r>
        <w:rPr>
          <w:rFonts w:ascii="Times New Roman" w:hAnsi="Times New Roman"/>
          <w:sz w:val="28"/>
          <w:szCs w:val="28"/>
          <w:lang w:val="en-US"/>
        </w:rPr>
        <w:t xml:space="preserve">lower </w:t>
      </w:r>
      <w:r w:rsidR="00335816">
        <w:rPr>
          <w:rFonts w:ascii="Times New Roman" w:hAnsi="Times New Roman"/>
          <w:sz w:val="28"/>
          <w:szCs w:val="28"/>
          <w:lang w:val="en-US"/>
        </w:rPr>
        <w:t xml:space="preserve">crude </w:t>
      </w:r>
      <w:r>
        <w:rPr>
          <w:rFonts w:ascii="Times New Roman" w:hAnsi="Times New Roman"/>
          <w:sz w:val="28"/>
          <w:szCs w:val="28"/>
          <w:lang w:val="en-US"/>
        </w:rPr>
        <w:t xml:space="preserve">oil production and </w:t>
      </w:r>
      <w:r w:rsidR="00335816">
        <w:rPr>
          <w:rFonts w:ascii="Times New Roman" w:hAnsi="Times New Roman"/>
          <w:sz w:val="28"/>
          <w:szCs w:val="28"/>
          <w:lang w:val="en-US"/>
        </w:rPr>
        <w:t xml:space="preserve">refinery </w:t>
      </w:r>
      <w:r>
        <w:rPr>
          <w:rFonts w:ascii="Times New Roman" w:hAnsi="Times New Roman"/>
          <w:sz w:val="28"/>
          <w:szCs w:val="28"/>
          <w:lang w:val="en-US"/>
        </w:rPr>
        <w:t xml:space="preserve">throughput volumes, lower refining margin in Europe and </w:t>
      </w:r>
      <w:r w:rsidRPr="009619C3">
        <w:rPr>
          <w:rFonts w:ascii="Times New Roman" w:hAnsi="Times New Roman"/>
          <w:sz w:val="28"/>
          <w:szCs w:val="28"/>
          <w:lang w:val="en-US"/>
        </w:rPr>
        <w:t>elimination of tax incentives for high-viscous crude oil</w:t>
      </w:r>
      <w:r w:rsidRPr="00C01049">
        <w:rPr>
          <w:rFonts w:ascii="Times New Roman" w:hAnsi="Times New Roman"/>
          <w:sz w:val="28"/>
          <w:szCs w:val="28"/>
          <w:lang w:val="en-US"/>
        </w:rPr>
        <w:t>.</w:t>
      </w:r>
    </w:p>
    <w:p w:rsidR="00386499" w:rsidRDefault="00386499" w:rsidP="00B9662F">
      <w:pPr>
        <w:snapToGrid w:val="0"/>
        <w:spacing w:line="240" w:lineRule="auto"/>
        <w:jc w:val="both"/>
        <w:rPr>
          <w:rFonts w:ascii="Times New Roman" w:hAnsi="Times New Roman"/>
          <w:i/>
          <w:sz w:val="28"/>
          <w:szCs w:val="28"/>
          <w:lang w:val="en-US"/>
        </w:rPr>
      </w:pPr>
    </w:p>
    <w:p w:rsidR="00B9662F" w:rsidRPr="005176C0" w:rsidRDefault="005176C0" w:rsidP="00B9662F">
      <w:pPr>
        <w:snapToGrid w:val="0"/>
        <w:spacing w:line="240" w:lineRule="auto"/>
        <w:jc w:val="both"/>
        <w:rPr>
          <w:rFonts w:ascii="Times New Roman" w:hAnsi="Times New Roman"/>
          <w:i/>
          <w:sz w:val="28"/>
          <w:szCs w:val="28"/>
          <w:lang w:val="en-US"/>
        </w:rPr>
      </w:pPr>
      <w:r w:rsidRPr="005176C0">
        <w:rPr>
          <w:rFonts w:ascii="Times New Roman" w:hAnsi="Times New Roman"/>
          <w:i/>
          <w:sz w:val="28"/>
          <w:szCs w:val="28"/>
          <w:lang w:val="en-US"/>
        </w:rPr>
        <w:t>Profit</w:t>
      </w:r>
    </w:p>
    <w:p w:rsidR="005176C0" w:rsidRDefault="005176C0" w:rsidP="00B9662F">
      <w:pPr>
        <w:snapToGrid w:val="0"/>
        <w:spacing w:line="240" w:lineRule="auto"/>
        <w:jc w:val="both"/>
        <w:rPr>
          <w:rFonts w:ascii="Times New Roman" w:hAnsi="Times New Roman"/>
          <w:sz w:val="28"/>
          <w:szCs w:val="28"/>
          <w:lang w:val="en-US"/>
        </w:rPr>
      </w:pPr>
      <w:r w:rsidRPr="00640226">
        <w:rPr>
          <w:rFonts w:ascii="Times New Roman" w:hAnsi="Times New Roman"/>
          <w:sz w:val="28"/>
          <w:szCs w:val="28"/>
          <w:lang w:val="en-US"/>
        </w:rPr>
        <w:t>In the first quarter of 202</w:t>
      </w:r>
      <w:r>
        <w:rPr>
          <w:rFonts w:ascii="Times New Roman" w:hAnsi="Times New Roman"/>
          <w:sz w:val="28"/>
          <w:szCs w:val="28"/>
          <w:lang w:val="en-US"/>
        </w:rPr>
        <w:t>1</w:t>
      </w:r>
      <w:r w:rsidRPr="00640226">
        <w:rPr>
          <w:rFonts w:ascii="Times New Roman" w:hAnsi="Times New Roman"/>
          <w:sz w:val="28"/>
          <w:szCs w:val="28"/>
          <w:lang w:val="en-US"/>
        </w:rPr>
        <w:t>,</w:t>
      </w:r>
      <w:r>
        <w:rPr>
          <w:rFonts w:ascii="Times New Roman" w:hAnsi="Times New Roman"/>
          <w:sz w:val="28"/>
          <w:szCs w:val="28"/>
          <w:lang w:val="en-US"/>
        </w:rPr>
        <w:t xml:space="preserve"> </w:t>
      </w:r>
      <w:r w:rsidRPr="005176C0">
        <w:rPr>
          <w:rFonts w:ascii="Times New Roman" w:hAnsi="Times New Roman"/>
          <w:sz w:val="28"/>
          <w:szCs w:val="28"/>
          <w:lang w:val="en-US"/>
        </w:rPr>
        <w:t>profit attributable to PJSC LUKOIL shareholders</w:t>
      </w:r>
      <w:r>
        <w:rPr>
          <w:rFonts w:ascii="Times New Roman" w:hAnsi="Times New Roman"/>
          <w:sz w:val="28"/>
          <w:szCs w:val="28"/>
          <w:lang w:val="en-US"/>
        </w:rPr>
        <w:t xml:space="preserve"> amounted to RUB 157.4 bln as compared to RUB 29.4 bln in the previous quarter and a loss of RUB 46.0 bln in the first quarter of 2020. </w:t>
      </w:r>
    </w:p>
    <w:p w:rsidR="005176C0" w:rsidRPr="00264B55" w:rsidRDefault="005176C0" w:rsidP="00B9662F">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Besides higher EBITDA, the profit dynamics is attributable to</w:t>
      </w:r>
      <w:r w:rsidR="00264B55" w:rsidRPr="00264B55">
        <w:rPr>
          <w:rFonts w:ascii="Times New Roman" w:hAnsi="Times New Roman"/>
          <w:sz w:val="28"/>
          <w:szCs w:val="28"/>
          <w:lang w:val="en-US"/>
        </w:rPr>
        <w:t xml:space="preserve"> non-cash</w:t>
      </w:r>
      <w:r w:rsidR="00264B55">
        <w:rPr>
          <w:rFonts w:ascii="Times New Roman" w:hAnsi="Times New Roman"/>
          <w:sz w:val="28"/>
          <w:szCs w:val="28"/>
          <w:lang w:val="en-US"/>
        </w:rPr>
        <w:t xml:space="preserve"> losses from</w:t>
      </w:r>
      <w:r>
        <w:rPr>
          <w:rFonts w:ascii="Times New Roman" w:hAnsi="Times New Roman"/>
          <w:sz w:val="28"/>
          <w:szCs w:val="28"/>
          <w:lang w:val="en-US"/>
        </w:rPr>
        <w:t xml:space="preserve"> </w:t>
      </w:r>
      <w:r w:rsidR="00264B55" w:rsidRPr="00264B55">
        <w:rPr>
          <w:rFonts w:ascii="Times New Roman" w:hAnsi="Times New Roman"/>
          <w:sz w:val="28"/>
          <w:szCs w:val="28"/>
          <w:lang w:val="en-US"/>
        </w:rPr>
        <w:t>assets impairment</w:t>
      </w:r>
      <w:r w:rsidR="00264B55">
        <w:rPr>
          <w:rFonts w:ascii="Times New Roman" w:hAnsi="Times New Roman"/>
          <w:sz w:val="28"/>
          <w:szCs w:val="28"/>
          <w:lang w:val="en-US"/>
        </w:rPr>
        <w:t xml:space="preserve"> in 2020, as well as </w:t>
      </w:r>
      <w:r w:rsidR="00264B55" w:rsidRPr="00264B55">
        <w:rPr>
          <w:rFonts w:ascii="Times New Roman" w:hAnsi="Times New Roman"/>
          <w:sz w:val="28"/>
          <w:szCs w:val="28"/>
          <w:lang w:val="en-US"/>
        </w:rPr>
        <w:t xml:space="preserve">recalculation of depletion expenses in the fourth quarter of 2020 for </w:t>
      </w:r>
      <w:r w:rsidR="00264B55">
        <w:rPr>
          <w:rFonts w:ascii="Times New Roman" w:hAnsi="Times New Roman"/>
          <w:sz w:val="28"/>
          <w:szCs w:val="28"/>
          <w:lang w:val="en-US"/>
        </w:rPr>
        <w:t>the full year</w:t>
      </w:r>
      <w:r w:rsidR="00264B55" w:rsidRPr="00264B55">
        <w:rPr>
          <w:rFonts w:ascii="Times New Roman" w:hAnsi="Times New Roman"/>
          <w:sz w:val="28"/>
          <w:szCs w:val="28"/>
          <w:lang w:val="en-US"/>
        </w:rPr>
        <w:t xml:space="preserve"> due to an increase in proved </w:t>
      </w:r>
      <w:r w:rsidR="00264B55">
        <w:rPr>
          <w:rFonts w:ascii="Times New Roman" w:hAnsi="Times New Roman"/>
          <w:sz w:val="28"/>
          <w:szCs w:val="28"/>
          <w:lang w:val="en-US"/>
        </w:rPr>
        <w:t>reserves at certain fields.</w:t>
      </w:r>
    </w:p>
    <w:p w:rsidR="00B9662F" w:rsidRPr="00264B55" w:rsidRDefault="00B9662F" w:rsidP="00B9662F">
      <w:pPr>
        <w:tabs>
          <w:tab w:val="left" w:pos="1431"/>
        </w:tabs>
        <w:snapToGrid w:val="0"/>
        <w:spacing w:line="240" w:lineRule="auto"/>
        <w:jc w:val="both"/>
        <w:rPr>
          <w:rFonts w:ascii="Times New Roman" w:hAnsi="Times New Roman"/>
          <w:sz w:val="12"/>
          <w:szCs w:val="12"/>
          <w:lang w:val="en-US"/>
        </w:rPr>
      </w:pPr>
    </w:p>
    <w:p w:rsidR="00B9662F" w:rsidRPr="00264B55" w:rsidRDefault="00264B55" w:rsidP="00B9662F">
      <w:pPr>
        <w:snapToGrid w:val="0"/>
        <w:spacing w:line="240" w:lineRule="auto"/>
        <w:jc w:val="both"/>
        <w:rPr>
          <w:rFonts w:ascii="Times New Roman" w:hAnsi="Times New Roman"/>
          <w:i/>
          <w:sz w:val="28"/>
          <w:szCs w:val="28"/>
          <w:lang w:val="en-US"/>
        </w:rPr>
      </w:pPr>
      <w:r w:rsidRPr="00264B55">
        <w:rPr>
          <w:rFonts w:ascii="Times New Roman" w:hAnsi="Times New Roman"/>
          <w:i/>
          <w:sz w:val="28"/>
          <w:szCs w:val="28"/>
          <w:lang w:val="en-US"/>
        </w:rPr>
        <w:t>Free cash flow</w:t>
      </w:r>
    </w:p>
    <w:p w:rsidR="00264B55" w:rsidRDefault="00264B55" w:rsidP="00B9662F">
      <w:pPr>
        <w:snapToGrid w:val="0"/>
        <w:spacing w:line="240" w:lineRule="auto"/>
        <w:jc w:val="both"/>
        <w:rPr>
          <w:rFonts w:ascii="Times New Roman" w:hAnsi="Times New Roman"/>
          <w:sz w:val="28"/>
          <w:szCs w:val="28"/>
          <w:lang w:val="en-US"/>
        </w:rPr>
      </w:pPr>
      <w:r w:rsidRPr="00640226">
        <w:rPr>
          <w:rFonts w:ascii="Times New Roman" w:hAnsi="Times New Roman"/>
          <w:sz w:val="28"/>
          <w:szCs w:val="28"/>
          <w:lang w:val="en-US"/>
        </w:rPr>
        <w:t>In the first quarter of 202</w:t>
      </w:r>
      <w:r>
        <w:rPr>
          <w:rFonts w:ascii="Times New Roman" w:hAnsi="Times New Roman"/>
          <w:sz w:val="28"/>
          <w:szCs w:val="28"/>
          <w:lang w:val="en-US"/>
        </w:rPr>
        <w:t>1</w:t>
      </w:r>
      <w:r w:rsidRPr="00640226">
        <w:rPr>
          <w:rFonts w:ascii="Times New Roman" w:hAnsi="Times New Roman"/>
          <w:sz w:val="28"/>
          <w:szCs w:val="28"/>
          <w:lang w:val="en-US"/>
        </w:rPr>
        <w:t>,</w:t>
      </w:r>
      <w:r>
        <w:rPr>
          <w:rFonts w:ascii="Times New Roman" w:hAnsi="Times New Roman"/>
          <w:sz w:val="28"/>
          <w:szCs w:val="28"/>
          <w:lang w:val="en-US"/>
        </w:rPr>
        <w:t xml:space="preserve"> free cash flow amounted to RUB 163.6 bln, which is a two-fold and</w:t>
      </w:r>
      <w:r w:rsidR="00386499">
        <w:rPr>
          <w:rFonts w:ascii="Times New Roman" w:hAnsi="Times New Roman"/>
          <w:sz w:val="28"/>
          <w:szCs w:val="28"/>
          <w:lang w:val="en-US"/>
        </w:rPr>
        <w:t xml:space="preserve"> a</w:t>
      </w:r>
      <w:r w:rsidR="0074021A">
        <w:rPr>
          <w:rFonts w:ascii="Times New Roman" w:hAnsi="Times New Roman"/>
          <w:sz w:val="28"/>
          <w:szCs w:val="28"/>
          <w:lang w:val="en-US"/>
        </w:rPr>
        <w:t xml:space="preserve"> </w:t>
      </w:r>
      <w:r>
        <w:rPr>
          <w:rFonts w:ascii="Times New Roman" w:hAnsi="Times New Roman"/>
          <w:sz w:val="28"/>
          <w:szCs w:val="28"/>
          <w:lang w:val="en-US"/>
        </w:rPr>
        <w:t xml:space="preserve">three-fold increase quarter-on-quarter and year-on-year respectively. </w:t>
      </w:r>
      <w:r w:rsidR="0074021A">
        <w:rPr>
          <w:rFonts w:ascii="Times New Roman" w:hAnsi="Times New Roman"/>
          <w:sz w:val="28"/>
          <w:szCs w:val="28"/>
          <w:lang w:val="en-US"/>
        </w:rPr>
        <w:t>T</w:t>
      </w:r>
      <w:r w:rsidR="0074021A" w:rsidRPr="0074021A">
        <w:rPr>
          <w:rFonts w:ascii="Times New Roman" w:hAnsi="Times New Roman"/>
          <w:sz w:val="28"/>
          <w:szCs w:val="28"/>
          <w:lang w:val="en-US"/>
        </w:rPr>
        <w:t xml:space="preserve">he </w:t>
      </w:r>
      <w:r w:rsidR="0074021A">
        <w:rPr>
          <w:rFonts w:ascii="Times New Roman" w:hAnsi="Times New Roman"/>
          <w:sz w:val="28"/>
          <w:szCs w:val="28"/>
          <w:lang w:val="en-US"/>
        </w:rPr>
        <w:t>increase</w:t>
      </w:r>
      <w:r w:rsidR="0074021A" w:rsidRPr="0074021A">
        <w:rPr>
          <w:rFonts w:ascii="Times New Roman" w:hAnsi="Times New Roman"/>
          <w:sz w:val="28"/>
          <w:szCs w:val="28"/>
          <w:lang w:val="en-US"/>
        </w:rPr>
        <w:t xml:space="preserve"> was mainly driven by </w:t>
      </w:r>
      <w:r w:rsidR="0074021A">
        <w:rPr>
          <w:rFonts w:ascii="Times New Roman" w:hAnsi="Times New Roman"/>
          <w:sz w:val="28"/>
          <w:szCs w:val="28"/>
          <w:lang w:val="en-US"/>
        </w:rPr>
        <w:t>higher</w:t>
      </w:r>
      <w:r w:rsidR="0074021A" w:rsidRPr="0074021A">
        <w:rPr>
          <w:rFonts w:ascii="Times New Roman" w:hAnsi="Times New Roman"/>
          <w:sz w:val="28"/>
          <w:szCs w:val="28"/>
          <w:lang w:val="en-US"/>
        </w:rPr>
        <w:t xml:space="preserve"> operating cash flow.</w:t>
      </w:r>
    </w:p>
    <w:p w:rsidR="00B9662F" w:rsidRPr="00CF0D30" w:rsidRDefault="00B9662F" w:rsidP="00B9662F">
      <w:pPr>
        <w:snapToGrid w:val="0"/>
        <w:spacing w:line="240" w:lineRule="auto"/>
        <w:jc w:val="both"/>
        <w:rPr>
          <w:rFonts w:ascii="Times New Roman" w:hAnsi="Times New Roman"/>
          <w:sz w:val="28"/>
          <w:szCs w:val="28"/>
          <w:lang w:val="en-US"/>
        </w:rPr>
      </w:pPr>
    </w:p>
    <w:p w:rsidR="00B9662F" w:rsidRPr="00C753D4" w:rsidRDefault="0074021A" w:rsidP="00B9662F">
      <w:pPr>
        <w:snapToGrid w:val="0"/>
        <w:spacing w:line="240" w:lineRule="auto"/>
        <w:jc w:val="center"/>
        <w:rPr>
          <w:rFonts w:ascii="Times New Roman" w:hAnsi="Times New Roman"/>
          <w:b/>
          <w:sz w:val="28"/>
          <w:szCs w:val="28"/>
        </w:rPr>
      </w:pPr>
      <w:r w:rsidRPr="0074021A">
        <w:rPr>
          <w:rFonts w:ascii="Times New Roman" w:hAnsi="Times New Roman"/>
          <w:b/>
          <w:sz w:val="28"/>
          <w:szCs w:val="28"/>
        </w:rPr>
        <w:t>Operating highlights</w:t>
      </w:r>
    </w:p>
    <w:tbl>
      <w:tblPr>
        <w:tblStyle w:val="af2"/>
        <w:tblW w:w="9864" w:type="dxa"/>
        <w:jc w:val="center"/>
        <w:tblLayout w:type="fixed"/>
        <w:tblLook w:val="04A0" w:firstRow="1" w:lastRow="0" w:firstColumn="1" w:lastColumn="0" w:noHBand="0" w:noVBand="1"/>
      </w:tblPr>
      <w:tblGrid>
        <w:gridCol w:w="1247"/>
        <w:gridCol w:w="1247"/>
        <w:gridCol w:w="4876"/>
        <w:gridCol w:w="1247"/>
        <w:gridCol w:w="1247"/>
      </w:tblGrid>
      <w:tr w:rsidR="00B9662F" w:rsidRPr="00325FD4" w:rsidTr="00FC7BC5">
        <w:trPr>
          <w:jc w:val="center"/>
        </w:trPr>
        <w:tc>
          <w:tcPr>
            <w:tcW w:w="1247" w:type="dxa"/>
            <w:tcBorders>
              <w:top w:val="nil"/>
              <w:left w:val="nil"/>
              <w:bottom w:val="nil"/>
              <w:right w:val="nil"/>
            </w:tcBorders>
            <w:hideMark/>
          </w:tcPr>
          <w:p w:rsidR="00B9662F" w:rsidRPr="00325FD4" w:rsidRDefault="00B9662F" w:rsidP="0074021A">
            <w:pPr>
              <w:spacing w:after="0" w:line="240" w:lineRule="auto"/>
              <w:jc w:val="right"/>
              <w:rPr>
                <w:rFonts w:ascii="Times New Roman" w:hAnsi="Times New Roman" w:cs="Times New Roman"/>
                <w:b/>
                <w:sz w:val="24"/>
                <w:szCs w:val="24"/>
              </w:rPr>
            </w:pPr>
            <w:r w:rsidRPr="000F7547">
              <w:rPr>
                <w:rFonts w:ascii="Times New Roman" w:hAnsi="Times New Roman" w:cs="Times New Roman"/>
                <w:b/>
                <w:sz w:val="24"/>
                <w:szCs w:val="24"/>
              </w:rPr>
              <w:lastRenderedPageBreak/>
              <w:t>1</w:t>
            </w:r>
            <w:r w:rsidR="0074021A">
              <w:rPr>
                <w:rFonts w:ascii="Times New Roman" w:hAnsi="Times New Roman" w:cs="Times New Roman"/>
                <w:b/>
                <w:sz w:val="24"/>
                <w:szCs w:val="24"/>
                <w:lang w:val="en-US"/>
              </w:rPr>
              <w:t>Q</w:t>
            </w:r>
          </w:p>
        </w:tc>
        <w:tc>
          <w:tcPr>
            <w:tcW w:w="1247" w:type="dxa"/>
            <w:tcBorders>
              <w:top w:val="nil"/>
              <w:left w:val="nil"/>
              <w:bottom w:val="nil"/>
              <w:right w:val="nil"/>
            </w:tcBorders>
          </w:tcPr>
          <w:p w:rsidR="00B9662F" w:rsidRPr="0074021A" w:rsidRDefault="00B9662F" w:rsidP="0074021A">
            <w:pPr>
              <w:spacing w:after="0" w:line="240" w:lineRule="auto"/>
              <w:jc w:val="right"/>
              <w:rPr>
                <w:rFonts w:ascii="Times New Roman" w:hAnsi="Times New Roman" w:cs="Times New Roman"/>
                <w:b/>
                <w:sz w:val="24"/>
                <w:szCs w:val="24"/>
                <w:lang w:val="en-US"/>
              </w:rPr>
            </w:pPr>
            <w:r w:rsidRPr="000F7547">
              <w:rPr>
                <w:rFonts w:ascii="Times New Roman" w:hAnsi="Times New Roman" w:cs="Times New Roman"/>
                <w:b/>
                <w:sz w:val="24"/>
                <w:szCs w:val="24"/>
              </w:rPr>
              <w:t>4</w:t>
            </w:r>
            <w:r w:rsidR="0074021A">
              <w:rPr>
                <w:rFonts w:ascii="Times New Roman" w:hAnsi="Times New Roman" w:cs="Times New Roman"/>
                <w:b/>
                <w:sz w:val="24"/>
                <w:szCs w:val="24"/>
                <w:lang w:val="en-US"/>
              </w:rPr>
              <w:t>Q</w:t>
            </w:r>
          </w:p>
        </w:tc>
        <w:tc>
          <w:tcPr>
            <w:tcW w:w="4876" w:type="dxa"/>
            <w:tcBorders>
              <w:top w:val="nil"/>
              <w:left w:val="nil"/>
              <w:bottom w:val="nil"/>
              <w:right w:val="nil"/>
            </w:tcBorders>
          </w:tcPr>
          <w:p w:rsidR="00B9662F" w:rsidRPr="000F7547" w:rsidRDefault="00B9662F" w:rsidP="00FC7BC5">
            <w:pPr>
              <w:spacing w:after="0" w:line="240" w:lineRule="auto"/>
              <w:jc w:val="center"/>
              <w:rPr>
                <w:rFonts w:ascii="Times New Roman" w:hAnsi="Times New Roman" w:cs="Times New Roman"/>
                <w:b/>
                <w:sz w:val="24"/>
                <w:szCs w:val="24"/>
              </w:rPr>
            </w:pPr>
          </w:p>
        </w:tc>
        <w:tc>
          <w:tcPr>
            <w:tcW w:w="1247" w:type="dxa"/>
            <w:tcBorders>
              <w:top w:val="nil"/>
              <w:left w:val="nil"/>
              <w:bottom w:val="nil"/>
              <w:right w:val="nil"/>
            </w:tcBorders>
          </w:tcPr>
          <w:p w:rsidR="00B9662F" w:rsidRPr="0074021A" w:rsidRDefault="00B9662F" w:rsidP="0074021A">
            <w:pPr>
              <w:spacing w:after="0" w:line="240" w:lineRule="auto"/>
              <w:jc w:val="right"/>
              <w:rPr>
                <w:rFonts w:ascii="Times New Roman" w:hAnsi="Times New Roman" w:cs="Times New Roman"/>
                <w:b/>
                <w:sz w:val="24"/>
                <w:szCs w:val="24"/>
                <w:lang w:val="en-US"/>
              </w:rPr>
            </w:pPr>
            <w:r w:rsidRPr="000F7547">
              <w:rPr>
                <w:rFonts w:ascii="Times New Roman" w:hAnsi="Times New Roman" w:cs="Times New Roman"/>
                <w:b/>
                <w:sz w:val="24"/>
                <w:szCs w:val="24"/>
              </w:rPr>
              <w:t>1</w:t>
            </w:r>
            <w:r w:rsidR="0074021A">
              <w:rPr>
                <w:rFonts w:ascii="Times New Roman" w:hAnsi="Times New Roman" w:cs="Times New Roman"/>
                <w:b/>
                <w:sz w:val="24"/>
                <w:szCs w:val="24"/>
                <w:lang w:val="en-US"/>
              </w:rPr>
              <w:t>Q</w:t>
            </w:r>
          </w:p>
        </w:tc>
        <w:tc>
          <w:tcPr>
            <w:tcW w:w="1247" w:type="dxa"/>
            <w:tcBorders>
              <w:top w:val="nil"/>
              <w:left w:val="nil"/>
              <w:bottom w:val="nil"/>
              <w:right w:val="nil"/>
            </w:tcBorders>
          </w:tcPr>
          <w:p w:rsidR="00B9662F" w:rsidRPr="00325FD4" w:rsidRDefault="00B9662F" w:rsidP="0074021A">
            <w:pPr>
              <w:spacing w:after="0" w:line="240" w:lineRule="auto"/>
              <w:jc w:val="right"/>
              <w:rPr>
                <w:rFonts w:ascii="Times New Roman" w:hAnsi="Times New Roman" w:cs="Times New Roman"/>
                <w:b/>
                <w:sz w:val="24"/>
                <w:szCs w:val="24"/>
              </w:rPr>
            </w:pPr>
            <w:r w:rsidRPr="000F7547">
              <w:rPr>
                <w:rFonts w:ascii="Times New Roman" w:hAnsi="Times New Roman" w:cs="Times New Roman"/>
                <w:b/>
                <w:sz w:val="24"/>
                <w:szCs w:val="24"/>
              </w:rPr>
              <w:t>1</w:t>
            </w:r>
            <w:r w:rsidR="0074021A">
              <w:rPr>
                <w:rFonts w:ascii="Times New Roman" w:hAnsi="Times New Roman" w:cs="Times New Roman"/>
                <w:b/>
                <w:sz w:val="24"/>
                <w:szCs w:val="24"/>
                <w:lang w:val="en-US"/>
              </w:rPr>
              <w:t>Q</w:t>
            </w:r>
          </w:p>
        </w:tc>
      </w:tr>
      <w:tr w:rsidR="00B9662F" w:rsidRPr="00325FD4" w:rsidTr="00FC7BC5">
        <w:trPr>
          <w:jc w:val="center"/>
        </w:trPr>
        <w:tc>
          <w:tcPr>
            <w:tcW w:w="1247" w:type="dxa"/>
            <w:tcBorders>
              <w:top w:val="nil"/>
              <w:left w:val="nil"/>
              <w:bottom w:val="single" w:sz="4" w:space="0" w:color="auto"/>
              <w:right w:val="nil"/>
            </w:tcBorders>
            <w:hideMark/>
          </w:tcPr>
          <w:p w:rsidR="00B9662F" w:rsidRPr="000F7547" w:rsidRDefault="00B9662F" w:rsidP="00FC7BC5">
            <w:pPr>
              <w:spacing w:after="0" w:line="240" w:lineRule="auto"/>
              <w:jc w:val="right"/>
              <w:rPr>
                <w:rFonts w:ascii="Times New Roman" w:hAnsi="Times New Roman" w:cs="Times New Roman"/>
                <w:b/>
                <w:sz w:val="24"/>
                <w:szCs w:val="24"/>
              </w:rPr>
            </w:pPr>
            <w:r w:rsidRPr="000F7547">
              <w:rPr>
                <w:rFonts w:ascii="Times New Roman" w:hAnsi="Times New Roman" w:cs="Times New Roman"/>
                <w:b/>
                <w:sz w:val="24"/>
                <w:szCs w:val="24"/>
              </w:rPr>
              <w:t>2021</w:t>
            </w:r>
          </w:p>
        </w:tc>
        <w:tc>
          <w:tcPr>
            <w:tcW w:w="1247" w:type="dxa"/>
            <w:tcBorders>
              <w:top w:val="nil"/>
              <w:left w:val="nil"/>
              <w:bottom w:val="single" w:sz="4" w:space="0" w:color="auto"/>
              <w:right w:val="nil"/>
            </w:tcBorders>
          </w:tcPr>
          <w:p w:rsidR="00B9662F" w:rsidRPr="000F7547" w:rsidRDefault="00B9662F" w:rsidP="00FC7BC5">
            <w:pPr>
              <w:spacing w:after="0" w:line="240" w:lineRule="auto"/>
              <w:jc w:val="right"/>
              <w:rPr>
                <w:rFonts w:ascii="Times New Roman" w:hAnsi="Times New Roman" w:cs="Times New Roman"/>
                <w:b/>
                <w:sz w:val="24"/>
                <w:szCs w:val="24"/>
              </w:rPr>
            </w:pPr>
            <w:r w:rsidRPr="000F7547">
              <w:rPr>
                <w:rFonts w:ascii="Times New Roman" w:hAnsi="Times New Roman" w:cs="Times New Roman"/>
                <w:b/>
                <w:sz w:val="24"/>
                <w:szCs w:val="24"/>
              </w:rPr>
              <w:t>2020</w:t>
            </w:r>
          </w:p>
        </w:tc>
        <w:tc>
          <w:tcPr>
            <w:tcW w:w="4876" w:type="dxa"/>
            <w:tcBorders>
              <w:top w:val="nil"/>
              <w:left w:val="nil"/>
              <w:bottom w:val="single" w:sz="4" w:space="0" w:color="auto"/>
              <w:right w:val="nil"/>
            </w:tcBorders>
          </w:tcPr>
          <w:p w:rsidR="00B9662F" w:rsidRPr="000F7547" w:rsidRDefault="00B9662F" w:rsidP="00FC7BC5">
            <w:pPr>
              <w:spacing w:after="0" w:line="240" w:lineRule="auto"/>
              <w:jc w:val="center"/>
              <w:rPr>
                <w:rFonts w:ascii="Times New Roman" w:hAnsi="Times New Roman" w:cs="Times New Roman"/>
                <w:b/>
                <w:sz w:val="24"/>
                <w:szCs w:val="24"/>
              </w:rPr>
            </w:pPr>
          </w:p>
        </w:tc>
        <w:tc>
          <w:tcPr>
            <w:tcW w:w="1247" w:type="dxa"/>
            <w:tcBorders>
              <w:top w:val="nil"/>
              <w:left w:val="nil"/>
              <w:bottom w:val="single" w:sz="4" w:space="0" w:color="auto"/>
              <w:right w:val="nil"/>
            </w:tcBorders>
          </w:tcPr>
          <w:p w:rsidR="00B9662F" w:rsidRPr="000F7547" w:rsidRDefault="00B9662F" w:rsidP="00FC7BC5">
            <w:pPr>
              <w:spacing w:after="0" w:line="240" w:lineRule="auto"/>
              <w:jc w:val="right"/>
              <w:rPr>
                <w:rFonts w:ascii="Times New Roman" w:hAnsi="Times New Roman" w:cs="Times New Roman"/>
                <w:b/>
                <w:sz w:val="24"/>
                <w:szCs w:val="24"/>
              </w:rPr>
            </w:pPr>
            <w:r w:rsidRPr="000F7547">
              <w:rPr>
                <w:rFonts w:ascii="Times New Roman" w:hAnsi="Times New Roman" w:cs="Times New Roman"/>
                <w:b/>
                <w:sz w:val="24"/>
                <w:szCs w:val="24"/>
              </w:rPr>
              <w:t>2021</w:t>
            </w:r>
          </w:p>
        </w:tc>
        <w:tc>
          <w:tcPr>
            <w:tcW w:w="1247" w:type="dxa"/>
            <w:tcBorders>
              <w:top w:val="nil"/>
              <w:left w:val="nil"/>
              <w:bottom w:val="single" w:sz="4" w:space="0" w:color="auto"/>
              <w:right w:val="nil"/>
            </w:tcBorders>
            <w:hideMark/>
          </w:tcPr>
          <w:p w:rsidR="00B9662F" w:rsidRPr="000F7547" w:rsidRDefault="00B9662F" w:rsidP="00FC7BC5">
            <w:pPr>
              <w:spacing w:after="0" w:line="240" w:lineRule="auto"/>
              <w:jc w:val="right"/>
              <w:rPr>
                <w:rFonts w:ascii="Times New Roman" w:hAnsi="Times New Roman" w:cs="Times New Roman"/>
                <w:b/>
                <w:sz w:val="24"/>
                <w:szCs w:val="24"/>
              </w:rPr>
            </w:pPr>
            <w:r w:rsidRPr="000F7547">
              <w:rPr>
                <w:rFonts w:ascii="Times New Roman" w:hAnsi="Times New Roman" w:cs="Times New Roman"/>
                <w:b/>
                <w:sz w:val="24"/>
                <w:szCs w:val="24"/>
              </w:rPr>
              <w:t>2020</w:t>
            </w:r>
          </w:p>
        </w:tc>
      </w:tr>
      <w:tr w:rsidR="00B9662F" w:rsidRPr="00325FD4" w:rsidTr="00FC7BC5">
        <w:trPr>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2,</w:t>
            </w:r>
            <w:r w:rsidR="00B9662F" w:rsidRPr="000F7547">
              <w:rPr>
                <w:rFonts w:ascii="Times New Roman" w:eastAsia="Times New Roman" w:hAnsi="Times New Roman" w:cs="Times New Roman"/>
                <w:b/>
                <w:color w:val="000000" w:themeColor="text1"/>
                <w:szCs w:val="24"/>
                <w:lang w:eastAsia="ru-RU"/>
              </w:rPr>
              <w:t>198</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2,</w:t>
            </w:r>
            <w:r w:rsidR="00B9662F" w:rsidRPr="000F7547">
              <w:rPr>
                <w:rFonts w:ascii="Times New Roman" w:eastAsia="Times New Roman" w:hAnsi="Times New Roman" w:cs="Times New Roman"/>
                <w:b/>
                <w:color w:val="000000" w:themeColor="text1"/>
                <w:szCs w:val="24"/>
                <w:lang w:eastAsia="ru-RU"/>
              </w:rPr>
              <w:t>099</w:t>
            </w:r>
          </w:p>
        </w:tc>
        <w:tc>
          <w:tcPr>
            <w:tcW w:w="4876" w:type="dxa"/>
            <w:tcBorders>
              <w:top w:val="nil"/>
              <w:left w:val="single" w:sz="4" w:space="0" w:color="FFFFFF" w:themeColor="background1"/>
              <w:bottom w:val="nil"/>
              <w:right w:val="single" w:sz="4" w:space="0" w:color="FFFFFF" w:themeColor="background1"/>
            </w:tcBorders>
          </w:tcPr>
          <w:p w:rsidR="00B9662F" w:rsidRPr="00E26935" w:rsidRDefault="0074021A" w:rsidP="00FC7BC5">
            <w:pPr>
              <w:spacing w:after="120" w:line="240" w:lineRule="auto"/>
              <w:rPr>
                <w:rFonts w:ascii="Times New Roman" w:eastAsia="Times New Roman" w:hAnsi="Times New Roman" w:cs="Times New Roman"/>
                <w:b/>
                <w:lang w:eastAsia="ru-RU"/>
              </w:rPr>
            </w:pPr>
            <w:r w:rsidRPr="0074021A">
              <w:rPr>
                <w:rFonts w:ascii="Times New Roman" w:eastAsia="Times New Roman" w:hAnsi="Times New Roman"/>
                <w:b/>
                <w:color w:val="000000"/>
                <w:lang w:eastAsia="ru-RU"/>
              </w:rPr>
              <w:t>Hydrocarbon production, Kboepd</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2,</w:t>
            </w:r>
            <w:r w:rsidR="00B9662F" w:rsidRPr="000F7547">
              <w:rPr>
                <w:rFonts w:ascii="Times New Roman" w:eastAsia="Times New Roman" w:hAnsi="Times New Roman" w:cs="Times New Roman"/>
                <w:color w:val="000000" w:themeColor="text1"/>
                <w:szCs w:val="24"/>
                <w:lang w:eastAsia="ru-RU"/>
              </w:rPr>
              <w:t>198</w:t>
            </w:r>
          </w:p>
        </w:tc>
        <w:tc>
          <w:tcPr>
            <w:tcW w:w="1247" w:type="dxa"/>
            <w:tcBorders>
              <w:top w:val="nil"/>
              <w:left w:val="single" w:sz="4" w:space="0" w:color="FFFFFF" w:themeColor="background1"/>
              <w:bottom w:val="nil"/>
              <w:right w:val="single" w:sz="4" w:space="0" w:color="FFFFFF" w:themeColor="background1"/>
            </w:tcBorders>
          </w:tcPr>
          <w:p w:rsidR="00B9662F" w:rsidRPr="00666550" w:rsidRDefault="0074021A"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2,</w:t>
            </w:r>
            <w:r w:rsidR="00B9662F" w:rsidRPr="002F0006">
              <w:rPr>
                <w:rFonts w:ascii="Times New Roman" w:eastAsia="Times New Roman" w:hAnsi="Times New Roman" w:cs="Times New Roman"/>
                <w:b/>
                <w:color w:val="000000" w:themeColor="text1"/>
                <w:szCs w:val="24"/>
                <w:lang w:eastAsia="ru-RU"/>
              </w:rPr>
              <w:t>382</w:t>
            </w:r>
          </w:p>
        </w:tc>
      </w:tr>
      <w:tr w:rsidR="00B9662F" w:rsidRPr="00325FD4" w:rsidTr="00FC7BC5">
        <w:trPr>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2,</w:t>
            </w:r>
            <w:r w:rsidR="00B9662F" w:rsidRPr="000F7547">
              <w:rPr>
                <w:rFonts w:ascii="Times New Roman" w:eastAsia="Times New Roman" w:hAnsi="Times New Roman" w:cs="Times New Roman"/>
                <w:b/>
                <w:color w:val="000000" w:themeColor="text1"/>
                <w:szCs w:val="24"/>
                <w:lang w:eastAsia="ru-RU"/>
              </w:rPr>
              <w:t>152</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2,</w:t>
            </w:r>
            <w:r w:rsidR="00B9662F" w:rsidRPr="000F7547">
              <w:rPr>
                <w:rFonts w:ascii="Times New Roman" w:eastAsia="Times New Roman" w:hAnsi="Times New Roman" w:cs="Times New Roman"/>
                <w:b/>
                <w:color w:val="000000" w:themeColor="text1"/>
                <w:szCs w:val="24"/>
                <w:lang w:eastAsia="ru-RU"/>
              </w:rPr>
              <w:t>065</w:t>
            </w:r>
          </w:p>
        </w:tc>
        <w:tc>
          <w:tcPr>
            <w:tcW w:w="4876" w:type="dxa"/>
            <w:tcBorders>
              <w:top w:val="nil"/>
              <w:left w:val="single" w:sz="4" w:space="0" w:color="FFFFFF" w:themeColor="background1"/>
              <w:bottom w:val="nil"/>
              <w:right w:val="single" w:sz="4" w:space="0" w:color="FFFFFF" w:themeColor="background1"/>
            </w:tcBorders>
          </w:tcPr>
          <w:p w:rsidR="00B9662F" w:rsidRPr="000B5001" w:rsidRDefault="0074021A" w:rsidP="00FC7BC5">
            <w:pPr>
              <w:spacing w:after="120" w:line="240" w:lineRule="auto"/>
              <w:ind w:left="708"/>
              <w:rPr>
                <w:rFonts w:ascii="Times New Roman" w:eastAsia="Times New Roman" w:hAnsi="Times New Roman"/>
                <w:b/>
                <w:color w:val="000000"/>
                <w:lang w:eastAsia="ru-RU"/>
              </w:rPr>
            </w:pPr>
            <w:r w:rsidRPr="0074021A">
              <w:rPr>
                <w:rFonts w:ascii="Times New Roman" w:eastAsia="Times New Roman" w:hAnsi="Times New Roman"/>
                <w:b/>
                <w:color w:val="000000"/>
                <w:lang w:eastAsia="ru-RU"/>
              </w:rPr>
              <w:t>ex. West Qurna-2</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2,</w:t>
            </w:r>
            <w:r w:rsidR="00B9662F" w:rsidRPr="000F7547">
              <w:rPr>
                <w:rFonts w:ascii="Times New Roman" w:eastAsia="Times New Roman" w:hAnsi="Times New Roman" w:cs="Times New Roman"/>
                <w:color w:val="000000" w:themeColor="text1"/>
                <w:szCs w:val="24"/>
                <w:lang w:eastAsia="ru-RU"/>
              </w:rPr>
              <w:t>152</w:t>
            </w:r>
          </w:p>
        </w:tc>
        <w:tc>
          <w:tcPr>
            <w:tcW w:w="1247" w:type="dxa"/>
            <w:tcBorders>
              <w:top w:val="nil"/>
              <w:left w:val="single" w:sz="4" w:space="0" w:color="FFFFFF" w:themeColor="background1"/>
              <w:bottom w:val="nil"/>
              <w:right w:val="single" w:sz="4" w:space="0" w:color="FFFFFF" w:themeColor="background1"/>
            </w:tcBorders>
          </w:tcPr>
          <w:p w:rsidR="00B9662F" w:rsidRPr="00666550" w:rsidRDefault="0074021A"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2,</w:t>
            </w:r>
            <w:r w:rsidR="00B9662F" w:rsidRPr="002F0006">
              <w:rPr>
                <w:rFonts w:ascii="Times New Roman" w:eastAsia="Times New Roman" w:hAnsi="Times New Roman" w:cs="Times New Roman"/>
                <w:b/>
                <w:color w:val="000000" w:themeColor="text1"/>
                <w:szCs w:val="24"/>
                <w:lang w:eastAsia="ru-RU"/>
              </w:rPr>
              <w:t>328</w:t>
            </w:r>
          </w:p>
        </w:tc>
      </w:tr>
      <w:tr w:rsidR="00B9662F" w:rsidRPr="00325FD4" w:rsidTr="00FC7BC5">
        <w:trPr>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w:t>
            </w:r>
            <w:r w:rsidR="00B9662F" w:rsidRPr="000F7547">
              <w:rPr>
                <w:rFonts w:ascii="Times New Roman" w:eastAsia="Times New Roman" w:hAnsi="Times New Roman" w:cs="Times New Roman"/>
                <w:color w:val="000000" w:themeColor="text1"/>
                <w:szCs w:val="24"/>
                <w:lang w:eastAsia="ru-RU"/>
              </w:rPr>
              <w:t>624</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w:t>
            </w:r>
            <w:r w:rsidR="00B9662F" w:rsidRPr="000F7547">
              <w:rPr>
                <w:rFonts w:ascii="Times New Roman" w:eastAsia="Times New Roman" w:hAnsi="Times New Roman" w:cs="Times New Roman"/>
                <w:color w:val="000000" w:themeColor="text1"/>
                <w:szCs w:val="24"/>
                <w:lang w:eastAsia="ru-RU"/>
              </w:rPr>
              <w:t>573</w:t>
            </w:r>
          </w:p>
        </w:tc>
        <w:tc>
          <w:tcPr>
            <w:tcW w:w="4876" w:type="dxa"/>
            <w:tcBorders>
              <w:top w:val="nil"/>
              <w:left w:val="single" w:sz="4" w:space="0" w:color="FFFFFF" w:themeColor="background1"/>
              <w:bottom w:val="nil"/>
              <w:right w:val="single" w:sz="4" w:space="0" w:color="FFFFFF" w:themeColor="background1"/>
            </w:tcBorders>
          </w:tcPr>
          <w:p w:rsidR="00B9662F" w:rsidRPr="00E26935" w:rsidRDefault="0074021A" w:rsidP="00FC7BC5">
            <w:pPr>
              <w:spacing w:after="120" w:line="240" w:lineRule="auto"/>
              <w:rPr>
                <w:rFonts w:ascii="Times New Roman" w:eastAsia="Times New Roman" w:hAnsi="Times New Roman" w:cs="Times New Roman"/>
                <w:lang w:eastAsia="ru-RU"/>
              </w:rPr>
            </w:pPr>
            <w:r w:rsidRPr="0074021A">
              <w:rPr>
                <w:rFonts w:ascii="Times New Roman" w:eastAsia="Times New Roman" w:hAnsi="Times New Roman"/>
                <w:color w:val="000000"/>
                <w:lang w:eastAsia="ru-RU"/>
              </w:rPr>
              <w:t>Liquid hydrocarbon production, Kbpd</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w:t>
            </w:r>
            <w:r w:rsidR="00B9662F" w:rsidRPr="000F7547">
              <w:rPr>
                <w:rFonts w:ascii="Times New Roman" w:eastAsia="Times New Roman" w:hAnsi="Times New Roman" w:cs="Times New Roman"/>
                <w:color w:val="000000" w:themeColor="text1"/>
                <w:szCs w:val="24"/>
                <w:lang w:eastAsia="ru-RU"/>
              </w:rPr>
              <w:t>624</w:t>
            </w:r>
          </w:p>
        </w:tc>
        <w:tc>
          <w:tcPr>
            <w:tcW w:w="1247" w:type="dxa"/>
            <w:tcBorders>
              <w:top w:val="nil"/>
              <w:left w:val="single" w:sz="4" w:space="0" w:color="FFFFFF" w:themeColor="background1"/>
              <w:bottom w:val="nil"/>
              <w:right w:val="single" w:sz="4" w:space="0" w:color="FFFFFF" w:themeColor="background1"/>
            </w:tcBorders>
          </w:tcPr>
          <w:p w:rsidR="00B9662F" w:rsidRPr="00666550"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w:t>
            </w:r>
            <w:r w:rsidR="00B9662F" w:rsidRPr="002F0006">
              <w:rPr>
                <w:rFonts w:ascii="Times New Roman" w:eastAsia="Times New Roman" w:hAnsi="Times New Roman" w:cs="Times New Roman"/>
                <w:color w:val="000000" w:themeColor="text1"/>
                <w:szCs w:val="24"/>
                <w:lang w:eastAsia="ru-RU"/>
              </w:rPr>
              <w:t>838</w:t>
            </w:r>
          </w:p>
        </w:tc>
      </w:tr>
      <w:tr w:rsidR="00B9662F" w:rsidRPr="00292B9D" w:rsidTr="00FC7BC5">
        <w:trPr>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w:t>
            </w:r>
            <w:r w:rsidR="00B9662F" w:rsidRPr="000F7547">
              <w:rPr>
                <w:rFonts w:ascii="Times New Roman" w:eastAsia="Times New Roman" w:hAnsi="Times New Roman" w:cs="Times New Roman"/>
                <w:color w:val="000000" w:themeColor="text1"/>
                <w:szCs w:val="24"/>
                <w:lang w:eastAsia="ru-RU"/>
              </w:rPr>
              <w:t>57</w:t>
            </w:r>
            <w:r w:rsidR="00B9662F">
              <w:rPr>
                <w:rFonts w:ascii="Times New Roman" w:eastAsia="Times New Roman" w:hAnsi="Times New Roman" w:cs="Times New Roman"/>
                <w:color w:val="000000" w:themeColor="text1"/>
                <w:szCs w:val="24"/>
                <w:lang w:eastAsia="ru-RU"/>
              </w:rPr>
              <w:t>8</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w:t>
            </w:r>
            <w:r w:rsidR="00B9662F" w:rsidRPr="000F7547">
              <w:rPr>
                <w:rFonts w:ascii="Times New Roman" w:eastAsia="Times New Roman" w:hAnsi="Times New Roman" w:cs="Times New Roman"/>
                <w:color w:val="000000" w:themeColor="text1"/>
                <w:szCs w:val="24"/>
                <w:lang w:eastAsia="ru-RU"/>
              </w:rPr>
              <w:t>53</w:t>
            </w:r>
            <w:r w:rsidR="00B9662F">
              <w:rPr>
                <w:rFonts w:ascii="Times New Roman" w:eastAsia="Times New Roman" w:hAnsi="Times New Roman" w:cs="Times New Roman"/>
                <w:color w:val="000000" w:themeColor="text1"/>
                <w:szCs w:val="24"/>
                <w:lang w:eastAsia="ru-RU"/>
              </w:rPr>
              <w:t>9</w:t>
            </w:r>
          </w:p>
        </w:tc>
        <w:tc>
          <w:tcPr>
            <w:tcW w:w="4876" w:type="dxa"/>
            <w:tcBorders>
              <w:top w:val="nil"/>
              <w:left w:val="single" w:sz="4" w:space="0" w:color="FFFFFF" w:themeColor="background1"/>
              <w:bottom w:val="nil"/>
              <w:right w:val="single" w:sz="4" w:space="0" w:color="FFFFFF" w:themeColor="background1"/>
            </w:tcBorders>
          </w:tcPr>
          <w:p w:rsidR="00B9662F" w:rsidRPr="0074021A" w:rsidRDefault="0074021A" w:rsidP="00FC7BC5">
            <w:pPr>
              <w:spacing w:after="120" w:line="240" w:lineRule="auto"/>
              <w:ind w:left="708"/>
              <w:rPr>
                <w:rFonts w:ascii="Times New Roman" w:eastAsia="Times New Roman" w:hAnsi="Times New Roman" w:cs="Times New Roman"/>
                <w:b/>
                <w:color w:val="000000"/>
                <w:lang w:val="en-US" w:eastAsia="ru-RU"/>
              </w:rPr>
            </w:pPr>
            <w:r w:rsidRPr="0074021A">
              <w:rPr>
                <w:rFonts w:ascii="Times New Roman" w:eastAsia="Times New Roman" w:hAnsi="Times New Roman"/>
                <w:color w:val="000000"/>
                <w:lang w:val="en-US" w:eastAsia="ru-RU"/>
              </w:rPr>
              <w:t>ex. West Qurna-2</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w:t>
            </w:r>
            <w:r w:rsidR="00B9662F" w:rsidRPr="000F7547">
              <w:rPr>
                <w:rFonts w:ascii="Times New Roman" w:eastAsia="Times New Roman" w:hAnsi="Times New Roman" w:cs="Times New Roman"/>
                <w:color w:val="000000" w:themeColor="text1"/>
                <w:szCs w:val="24"/>
                <w:lang w:eastAsia="ru-RU"/>
              </w:rPr>
              <w:t>57</w:t>
            </w:r>
            <w:r w:rsidR="00B9662F">
              <w:rPr>
                <w:rFonts w:ascii="Times New Roman" w:eastAsia="Times New Roman" w:hAnsi="Times New Roman" w:cs="Times New Roman"/>
                <w:color w:val="000000" w:themeColor="text1"/>
                <w:szCs w:val="24"/>
                <w:lang w:eastAsia="ru-RU"/>
              </w:rPr>
              <w:t>8</w:t>
            </w:r>
          </w:p>
        </w:tc>
        <w:tc>
          <w:tcPr>
            <w:tcW w:w="1247" w:type="dxa"/>
            <w:tcBorders>
              <w:top w:val="nil"/>
              <w:left w:val="single" w:sz="4" w:space="0" w:color="FFFFFF" w:themeColor="background1"/>
              <w:bottom w:val="nil"/>
              <w:right w:val="single" w:sz="4" w:space="0" w:color="FFFFFF" w:themeColor="background1"/>
            </w:tcBorders>
          </w:tcPr>
          <w:p w:rsidR="00B9662F" w:rsidRPr="00666550"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1,</w:t>
            </w:r>
            <w:r w:rsidR="00B9662F" w:rsidRPr="002F0006">
              <w:rPr>
                <w:rFonts w:ascii="Times New Roman" w:eastAsia="Times New Roman" w:hAnsi="Times New Roman" w:cs="Times New Roman"/>
                <w:color w:val="000000" w:themeColor="text1"/>
                <w:szCs w:val="24"/>
                <w:lang w:eastAsia="ru-RU"/>
              </w:rPr>
              <w:t>784</w:t>
            </w:r>
          </w:p>
        </w:tc>
      </w:tr>
      <w:tr w:rsidR="00B9662F" w:rsidTr="00FC7BC5">
        <w:trPr>
          <w:jc w:val="center"/>
        </w:trPr>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8.</w:t>
            </w:r>
            <w:r w:rsidR="00B9662F" w:rsidRPr="000F7547">
              <w:rPr>
                <w:rFonts w:ascii="Times New Roman" w:eastAsia="Times New Roman" w:hAnsi="Times New Roman" w:cs="Times New Roman"/>
                <w:color w:val="000000" w:themeColor="text1"/>
                <w:szCs w:val="24"/>
                <w:lang w:eastAsia="ru-RU"/>
              </w:rPr>
              <w:t>8</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8.</w:t>
            </w:r>
            <w:r w:rsidR="00B9662F" w:rsidRPr="000F7547">
              <w:rPr>
                <w:rFonts w:ascii="Times New Roman" w:eastAsia="Times New Roman" w:hAnsi="Times New Roman" w:cs="Times New Roman"/>
                <w:color w:val="000000" w:themeColor="text1"/>
                <w:szCs w:val="24"/>
                <w:lang w:eastAsia="ru-RU"/>
              </w:rPr>
              <w:t>2</w:t>
            </w:r>
          </w:p>
        </w:tc>
        <w:tc>
          <w:tcPr>
            <w:tcW w:w="4876" w:type="dxa"/>
            <w:tcBorders>
              <w:top w:val="nil"/>
              <w:left w:val="single" w:sz="4" w:space="0" w:color="FFFFFF" w:themeColor="background1"/>
              <w:bottom w:val="nil"/>
              <w:right w:val="single" w:sz="4" w:space="0" w:color="FFFFFF" w:themeColor="background1"/>
            </w:tcBorders>
          </w:tcPr>
          <w:p w:rsidR="00B9662F" w:rsidRPr="0068419A" w:rsidRDefault="0074021A" w:rsidP="00FC7BC5">
            <w:pPr>
              <w:spacing w:after="120" w:line="240" w:lineRule="auto"/>
              <w:rPr>
                <w:rFonts w:ascii="Times New Roman" w:eastAsia="Times New Roman" w:hAnsi="Times New Roman" w:cs="Times New Roman"/>
                <w:lang w:eastAsia="ru-RU"/>
              </w:rPr>
            </w:pPr>
            <w:r w:rsidRPr="0074021A">
              <w:rPr>
                <w:rFonts w:ascii="Times New Roman" w:eastAsia="Times New Roman" w:hAnsi="Times New Roman"/>
                <w:color w:val="000000"/>
                <w:lang w:eastAsia="ru-RU"/>
              </w:rPr>
              <w:t>Gas production, bcm</w:t>
            </w:r>
          </w:p>
        </w:tc>
        <w:tc>
          <w:tcPr>
            <w:tcW w:w="1247" w:type="dxa"/>
            <w:tcBorders>
              <w:top w:val="nil"/>
              <w:left w:val="single" w:sz="4" w:space="0" w:color="FFFFFF" w:themeColor="background1"/>
              <w:bottom w:val="nil"/>
              <w:right w:val="single" w:sz="4" w:space="0" w:color="FFFFFF" w:themeColor="background1"/>
            </w:tcBorders>
            <w:vAlign w:val="center"/>
          </w:tcPr>
          <w:p w:rsidR="00B9662F" w:rsidRPr="000F7547"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8.</w:t>
            </w:r>
            <w:r w:rsidR="00B9662F">
              <w:rPr>
                <w:rFonts w:ascii="Times New Roman" w:eastAsia="Times New Roman" w:hAnsi="Times New Roman" w:cs="Times New Roman"/>
                <w:color w:val="000000" w:themeColor="text1"/>
                <w:szCs w:val="24"/>
                <w:lang w:eastAsia="ru-RU"/>
              </w:rPr>
              <w:t>8</w:t>
            </w:r>
          </w:p>
        </w:tc>
        <w:tc>
          <w:tcPr>
            <w:tcW w:w="1247" w:type="dxa"/>
            <w:tcBorders>
              <w:top w:val="nil"/>
              <w:left w:val="single" w:sz="4" w:space="0" w:color="FFFFFF" w:themeColor="background1"/>
              <w:bottom w:val="nil"/>
              <w:right w:val="single" w:sz="4" w:space="0" w:color="FFFFFF" w:themeColor="background1"/>
            </w:tcBorders>
          </w:tcPr>
          <w:p w:rsidR="00B9662F" w:rsidRPr="00666550" w:rsidRDefault="0074021A" w:rsidP="00FC7BC5">
            <w:pPr>
              <w:spacing w:after="120" w:line="240" w:lineRule="auto"/>
              <w:jc w:val="right"/>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8.</w:t>
            </w:r>
            <w:r w:rsidR="00B9662F" w:rsidRPr="002F0006">
              <w:rPr>
                <w:rFonts w:ascii="Times New Roman" w:eastAsia="Times New Roman" w:hAnsi="Times New Roman" w:cs="Times New Roman"/>
                <w:color w:val="000000" w:themeColor="text1"/>
                <w:szCs w:val="24"/>
                <w:lang w:eastAsia="ru-RU"/>
              </w:rPr>
              <w:t>4</w:t>
            </w:r>
          </w:p>
        </w:tc>
      </w:tr>
      <w:tr w:rsidR="00B9662F" w:rsidRPr="00292B9D" w:rsidTr="00FC7BC5">
        <w:trPr>
          <w:trHeight w:val="384"/>
          <w:jc w:val="center"/>
        </w:trPr>
        <w:tc>
          <w:tcPr>
            <w:tcW w:w="1247" w:type="dxa"/>
            <w:tcBorders>
              <w:top w:val="nil"/>
              <w:left w:val="single" w:sz="4" w:space="0" w:color="FFFFFF" w:themeColor="background1"/>
              <w:bottom w:val="single" w:sz="4" w:space="0" w:color="auto"/>
              <w:right w:val="single" w:sz="4" w:space="0" w:color="FFFFFF" w:themeColor="background1"/>
            </w:tcBorders>
          </w:tcPr>
          <w:p w:rsidR="00B9662F" w:rsidRPr="00F33D20" w:rsidRDefault="0074021A" w:rsidP="00FC7BC5">
            <w:pPr>
              <w:spacing w:after="120" w:line="240" w:lineRule="auto"/>
              <w:jc w:val="right"/>
              <w:rPr>
                <w:rFonts w:ascii="Times New Roman" w:eastAsia="Times New Roman" w:hAnsi="Times New Roman" w:cs="Times New Roman"/>
                <w:b/>
                <w:color w:val="FF0000"/>
                <w:szCs w:val="24"/>
                <w:lang w:val="en-US" w:eastAsia="ru-RU"/>
              </w:rPr>
            </w:pPr>
            <w:r>
              <w:rPr>
                <w:rFonts w:ascii="Times New Roman" w:eastAsia="Times New Roman" w:hAnsi="Times New Roman" w:cs="Times New Roman"/>
                <w:b/>
                <w:color w:val="000000" w:themeColor="text1"/>
                <w:szCs w:val="24"/>
                <w:lang w:eastAsia="ru-RU"/>
              </w:rPr>
              <w:t>13.</w:t>
            </w:r>
            <w:r w:rsidR="00B9662F" w:rsidRPr="00F65E42">
              <w:rPr>
                <w:rFonts w:ascii="Times New Roman" w:eastAsia="Times New Roman" w:hAnsi="Times New Roman" w:cs="Times New Roman"/>
                <w:b/>
                <w:color w:val="000000" w:themeColor="text1"/>
                <w:szCs w:val="24"/>
                <w:lang w:eastAsia="ru-RU"/>
              </w:rPr>
              <w:t>6</w:t>
            </w:r>
          </w:p>
        </w:tc>
        <w:tc>
          <w:tcPr>
            <w:tcW w:w="1247" w:type="dxa"/>
            <w:tcBorders>
              <w:top w:val="nil"/>
              <w:left w:val="single" w:sz="4" w:space="0" w:color="FFFFFF" w:themeColor="background1"/>
              <w:bottom w:val="single" w:sz="4" w:space="0" w:color="auto"/>
              <w:right w:val="single" w:sz="4" w:space="0" w:color="FFFFFF" w:themeColor="background1"/>
            </w:tcBorders>
          </w:tcPr>
          <w:p w:rsidR="00B9662F" w:rsidRPr="00F33D20" w:rsidRDefault="00B9662F" w:rsidP="00FC7BC5">
            <w:pPr>
              <w:spacing w:after="120" w:line="240" w:lineRule="auto"/>
              <w:jc w:val="right"/>
              <w:rPr>
                <w:rFonts w:ascii="Times New Roman" w:eastAsia="Times New Roman" w:hAnsi="Times New Roman" w:cs="Times New Roman"/>
                <w:b/>
                <w:color w:val="FF0000"/>
                <w:szCs w:val="24"/>
                <w:lang w:eastAsia="ru-RU"/>
              </w:rPr>
            </w:pPr>
            <w:r>
              <w:rPr>
                <w:rFonts w:ascii="Times New Roman" w:eastAsia="Times New Roman" w:hAnsi="Times New Roman" w:cs="Times New Roman"/>
                <w:b/>
                <w:color w:val="000000" w:themeColor="text1"/>
                <w:szCs w:val="24"/>
                <w:lang w:eastAsia="ru-RU"/>
              </w:rPr>
              <w:t>12</w:t>
            </w:r>
            <w:r w:rsidR="0074021A">
              <w:rPr>
                <w:rFonts w:ascii="Times New Roman" w:eastAsia="Times New Roman" w:hAnsi="Times New Roman" w:cs="Times New Roman"/>
                <w:b/>
                <w:color w:val="000000" w:themeColor="text1"/>
                <w:szCs w:val="24"/>
                <w:lang w:eastAsia="ru-RU"/>
              </w:rPr>
              <w:t>.</w:t>
            </w:r>
            <w:r>
              <w:rPr>
                <w:rFonts w:ascii="Times New Roman" w:eastAsia="Times New Roman" w:hAnsi="Times New Roman" w:cs="Times New Roman"/>
                <w:b/>
                <w:color w:val="000000" w:themeColor="text1"/>
                <w:szCs w:val="24"/>
                <w:lang w:eastAsia="ru-RU"/>
              </w:rPr>
              <w:t>4</w:t>
            </w:r>
          </w:p>
        </w:tc>
        <w:tc>
          <w:tcPr>
            <w:tcW w:w="4876" w:type="dxa"/>
            <w:tcBorders>
              <w:top w:val="nil"/>
              <w:left w:val="single" w:sz="4" w:space="0" w:color="FFFFFF" w:themeColor="background1"/>
              <w:bottom w:val="single" w:sz="4" w:space="0" w:color="auto"/>
              <w:right w:val="single" w:sz="4" w:space="0" w:color="FFFFFF" w:themeColor="background1"/>
            </w:tcBorders>
          </w:tcPr>
          <w:p w:rsidR="00B9662F" w:rsidRPr="0074021A" w:rsidRDefault="0074021A" w:rsidP="00FC7BC5">
            <w:pPr>
              <w:spacing w:after="120" w:line="240" w:lineRule="auto"/>
              <w:rPr>
                <w:rFonts w:ascii="Times New Roman" w:eastAsia="Times New Roman" w:hAnsi="Times New Roman" w:cs="Times New Roman"/>
                <w:b/>
                <w:lang w:val="en-US" w:eastAsia="ru-RU"/>
              </w:rPr>
            </w:pPr>
            <w:r w:rsidRPr="0074021A">
              <w:rPr>
                <w:rFonts w:ascii="Times New Roman" w:eastAsia="Times New Roman" w:hAnsi="Times New Roman"/>
                <w:b/>
                <w:color w:val="000000"/>
                <w:lang w:val="en-US" w:eastAsia="ru-RU"/>
              </w:rPr>
              <w:t>Production of refined products at own refineries, m</w:t>
            </w:r>
            <w:r w:rsidR="00915D97">
              <w:rPr>
                <w:rFonts w:ascii="Times New Roman" w:eastAsia="Times New Roman" w:hAnsi="Times New Roman"/>
                <w:b/>
                <w:color w:val="000000"/>
                <w:lang w:val="en-US" w:eastAsia="ru-RU"/>
              </w:rPr>
              <w:t>il</w:t>
            </w:r>
            <w:r w:rsidRPr="0074021A">
              <w:rPr>
                <w:rFonts w:ascii="Times New Roman" w:eastAsia="Times New Roman" w:hAnsi="Times New Roman"/>
                <w:b/>
                <w:color w:val="000000"/>
                <w:lang w:val="en-US" w:eastAsia="ru-RU"/>
              </w:rPr>
              <w:t>l</w:t>
            </w:r>
            <w:r w:rsidR="00915D97">
              <w:rPr>
                <w:rFonts w:ascii="Times New Roman" w:eastAsia="Times New Roman" w:hAnsi="Times New Roman"/>
                <w:b/>
                <w:color w:val="000000"/>
                <w:lang w:val="en-US" w:eastAsia="ru-RU"/>
              </w:rPr>
              <w:t>io</w:t>
            </w:r>
            <w:r w:rsidRPr="0074021A">
              <w:rPr>
                <w:rFonts w:ascii="Times New Roman" w:eastAsia="Times New Roman" w:hAnsi="Times New Roman"/>
                <w:b/>
                <w:color w:val="000000"/>
                <w:lang w:val="en-US" w:eastAsia="ru-RU"/>
              </w:rPr>
              <w:t>n tonnes</w:t>
            </w:r>
          </w:p>
        </w:tc>
        <w:tc>
          <w:tcPr>
            <w:tcW w:w="1247" w:type="dxa"/>
            <w:tcBorders>
              <w:top w:val="nil"/>
              <w:left w:val="single" w:sz="4" w:space="0" w:color="FFFFFF" w:themeColor="background1"/>
              <w:bottom w:val="single" w:sz="4" w:space="0" w:color="auto"/>
              <w:right w:val="single" w:sz="4" w:space="0" w:color="FFFFFF" w:themeColor="background1"/>
            </w:tcBorders>
          </w:tcPr>
          <w:p w:rsidR="00B9662F" w:rsidRPr="00057900" w:rsidRDefault="0074021A"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13.</w:t>
            </w:r>
            <w:r w:rsidR="00B9662F" w:rsidRPr="00F65E42">
              <w:rPr>
                <w:rFonts w:ascii="Times New Roman" w:eastAsia="Times New Roman" w:hAnsi="Times New Roman" w:cs="Times New Roman"/>
                <w:b/>
                <w:color w:val="000000" w:themeColor="text1"/>
                <w:szCs w:val="24"/>
                <w:lang w:eastAsia="ru-RU"/>
              </w:rPr>
              <w:t>6</w:t>
            </w:r>
          </w:p>
        </w:tc>
        <w:tc>
          <w:tcPr>
            <w:tcW w:w="1247" w:type="dxa"/>
            <w:tcBorders>
              <w:top w:val="nil"/>
              <w:left w:val="single" w:sz="4" w:space="0" w:color="FFFFFF" w:themeColor="background1"/>
              <w:bottom w:val="single" w:sz="4" w:space="0" w:color="auto"/>
              <w:right w:val="single" w:sz="4" w:space="0" w:color="FFFFFF" w:themeColor="background1"/>
            </w:tcBorders>
          </w:tcPr>
          <w:p w:rsidR="00B9662F" w:rsidRPr="00666550" w:rsidRDefault="0074021A" w:rsidP="00FC7BC5">
            <w:pPr>
              <w:spacing w:after="120" w:line="240" w:lineRule="auto"/>
              <w:jc w:val="right"/>
              <w:rPr>
                <w:rFonts w:ascii="Times New Roman" w:eastAsia="Times New Roman" w:hAnsi="Times New Roman" w:cs="Times New Roman"/>
                <w:b/>
                <w:color w:val="000000" w:themeColor="text1"/>
                <w:szCs w:val="24"/>
                <w:lang w:eastAsia="ru-RU"/>
              </w:rPr>
            </w:pPr>
            <w:r>
              <w:rPr>
                <w:rFonts w:ascii="Times New Roman" w:eastAsia="Times New Roman" w:hAnsi="Times New Roman" w:cs="Times New Roman"/>
                <w:b/>
                <w:color w:val="000000" w:themeColor="text1"/>
                <w:szCs w:val="24"/>
                <w:lang w:eastAsia="ru-RU"/>
              </w:rPr>
              <w:t>16.</w:t>
            </w:r>
            <w:r w:rsidR="00B9662F" w:rsidRPr="002F0006">
              <w:rPr>
                <w:rFonts w:ascii="Times New Roman" w:eastAsia="Times New Roman" w:hAnsi="Times New Roman" w:cs="Times New Roman"/>
                <w:b/>
                <w:color w:val="000000" w:themeColor="text1"/>
                <w:szCs w:val="24"/>
                <w:lang w:eastAsia="ru-RU"/>
              </w:rPr>
              <w:t>0</w:t>
            </w:r>
          </w:p>
        </w:tc>
      </w:tr>
    </w:tbl>
    <w:p w:rsidR="00B9662F" w:rsidRDefault="00B9662F" w:rsidP="00B9662F">
      <w:pPr>
        <w:snapToGrid w:val="0"/>
        <w:spacing w:line="240" w:lineRule="auto"/>
        <w:jc w:val="both"/>
        <w:rPr>
          <w:rFonts w:ascii="Times New Roman" w:hAnsi="Times New Roman"/>
          <w:b/>
          <w:sz w:val="28"/>
          <w:szCs w:val="28"/>
        </w:rPr>
      </w:pPr>
    </w:p>
    <w:p w:rsidR="0074021A" w:rsidRPr="0074021A" w:rsidRDefault="0074021A" w:rsidP="00B9662F">
      <w:pPr>
        <w:snapToGrid w:val="0"/>
        <w:spacing w:line="240" w:lineRule="auto"/>
        <w:jc w:val="both"/>
        <w:rPr>
          <w:rFonts w:ascii="Times New Roman" w:hAnsi="Times New Roman"/>
          <w:sz w:val="28"/>
          <w:szCs w:val="28"/>
          <w:lang w:val="en-US"/>
        </w:rPr>
      </w:pPr>
      <w:r w:rsidRPr="0074021A">
        <w:rPr>
          <w:rFonts w:ascii="Times New Roman" w:hAnsi="Times New Roman"/>
          <w:sz w:val="28"/>
          <w:szCs w:val="28"/>
          <w:lang w:val="en-US"/>
        </w:rPr>
        <w:t xml:space="preserve">In the first quarter of 2021 LUKOIL Group's average hydrocarbon production excluding the West Qurna-2 project was 2,152 thousand boe per day, which is 4.2% higher quarter-on-quarter. The growth was attributable to the dynamics of the external limitations on </w:t>
      </w:r>
      <w:r w:rsidR="00335816">
        <w:rPr>
          <w:rFonts w:ascii="Times New Roman" w:hAnsi="Times New Roman"/>
          <w:sz w:val="28"/>
          <w:szCs w:val="28"/>
          <w:lang w:val="en-US"/>
        </w:rPr>
        <w:t xml:space="preserve">crude </w:t>
      </w:r>
      <w:r w:rsidRPr="0074021A">
        <w:rPr>
          <w:rFonts w:ascii="Times New Roman" w:hAnsi="Times New Roman"/>
          <w:sz w:val="28"/>
          <w:szCs w:val="28"/>
          <w:lang w:val="en-US"/>
        </w:rPr>
        <w:t>oil production due to the OPEC+ agreement, as well as to the recovery of gas production in Uzbekistan. Hydrocarbon production was 7.6% lower year-on-year due to the OPEC+ agreement.</w:t>
      </w:r>
    </w:p>
    <w:p w:rsidR="00335816" w:rsidRDefault="00335816" w:rsidP="00B9662F">
      <w:pPr>
        <w:snapToGrid w:val="0"/>
        <w:spacing w:line="240" w:lineRule="auto"/>
        <w:jc w:val="both"/>
        <w:rPr>
          <w:rFonts w:ascii="Times New Roman" w:hAnsi="Times New Roman"/>
          <w:i/>
          <w:sz w:val="28"/>
          <w:szCs w:val="28"/>
          <w:lang w:val="en-US"/>
        </w:rPr>
      </w:pPr>
    </w:p>
    <w:p w:rsidR="00B9662F" w:rsidRPr="0074021A" w:rsidRDefault="0074021A" w:rsidP="00B9662F">
      <w:pPr>
        <w:snapToGrid w:val="0"/>
        <w:spacing w:line="240" w:lineRule="auto"/>
        <w:jc w:val="both"/>
        <w:rPr>
          <w:rFonts w:ascii="Times New Roman" w:hAnsi="Times New Roman"/>
          <w:i/>
          <w:sz w:val="28"/>
          <w:szCs w:val="28"/>
          <w:lang w:val="en-US"/>
        </w:rPr>
      </w:pPr>
      <w:r w:rsidRPr="0074021A">
        <w:rPr>
          <w:rFonts w:ascii="Times New Roman" w:hAnsi="Times New Roman"/>
          <w:i/>
          <w:sz w:val="28"/>
          <w:szCs w:val="28"/>
          <w:lang w:val="en-US"/>
        </w:rPr>
        <w:t>Liquid hydrocarbons</w:t>
      </w:r>
    </w:p>
    <w:p w:rsidR="0074021A" w:rsidRDefault="00335816" w:rsidP="00B9662F">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Liquid hydrocarbon</w:t>
      </w:r>
      <w:r w:rsidR="0074021A">
        <w:rPr>
          <w:rFonts w:ascii="Times New Roman" w:hAnsi="Times New Roman"/>
          <w:sz w:val="28"/>
          <w:szCs w:val="28"/>
          <w:lang w:val="en-US"/>
        </w:rPr>
        <w:t xml:space="preserve"> </w:t>
      </w:r>
      <w:r w:rsidR="0074021A" w:rsidRPr="0074021A">
        <w:rPr>
          <w:rFonts w:ascii="Times New Roman" w:hAnsi="Times New Roman"/>
          <w:sz w:val="28"/>
          <w:szCs w:val="28"/>
          <w:lang w:val="en-US"/>
        </w:rPr>
        <w:t xml:space="preserve">production excluding the West Qurna-2 project was </w:t>
      </w:r>
      <w:r w:rsidR="0074021A">
        <w:rPr>
          <w:rFonts w:ascii="Times New Roman" w:hAnsi="Times New Roman"/>
          <w:sz w:val="28"/>
          <w:szCs w:val="28"/>
          <w:lang w:val="en-US"/>
        </w:rPr>
        <w:t>1,</w:t>
      </w:r>
      <w:r w:rsidR="0074021A" w:rsidRPr="0074021A">
        <w:rPr>
          <w:rFonts w:ascii="Times New Roman" w:hAnsi="Times New Roman"/>
          <w:sz w:val="28"/>
          <w:szCs w:val="28"/>
          <w:lang w:val="en-US"/>
        </w:rPr>
        <w:t>578 thousand barrels per day in the first quarter of 2021, which is 2.</w:t>
      </w:r>
      <w:r w:rsidR="0074021A">
        <w:rPr>
          <w:rFonts w:ascii="Times New Roman" w:hAnsi="Times New Roman"/>
          <w:sz w:val="28"/>
          <w:szCs w:val="28"/>
          <w:lang w:val="en-US"/>
        </w:rPr>
        <w:t>5</w:t>
      </w:r>
      <w:r w:rsidR="0074021A" w:rsidRPr="0074021A">
        <w:rPr>
          <w:rFonts w:ascii="Times New Roman" w:hAnsi="Times New Roman"/>
          <w:sz w:val="28"/>
          <w:szCs w:val="28"/>
          <w:lang w:val="en-US"/>
        </w:rPr>
        <w:t>% higher quarter-on-quarter and 11.</w:t>
      </w:r>
      <w:r w:rsidR="0074021A">
        <w:rPr>
          <w:rFonts w:ascii="Times New Roman" w:hAnsi="Times New Roman"/>
          <w:sz w:val="28"/>
          <w:szCs w:val="28"/>
          <w:lang w:val="en-US"/>
        </w:rPr>
        <w:t>6</w:t>
      </w:r>
      <w:r w:rsidR="0074021A" w:rsidRPr="0074021A">
        <w:rPr>
          <w:rFonts w:ascii="Times New Roman" w:hAnsi="Times New Roman"/>
          <w:sz w:val="28"/>
          <w:szCs w:val="28"/>
          <w:lang w:val="en-US"/>
        </w:rPr>
        <w:t xml:space="preserve">% lower year-on-year. </w:t>
      </w:r>
      <w:r>
        <w:rPr>
          <w:rFonts w:ascii="Times New Roman" w:hAnsi="Times New Roman"/>
          <w:sz w:val="28"/>
          <w:szCs w:val="28"/>
          <w:lang w:val="en-US"/>
        </w:rPr>
        <w:t>Crude o</w:t>
      </w:r>
      <w:r w:rsidR="0074021A" w:rsidRPr="0074021A">
        <w:rPr>
          <w:rFonts w:ascii="Times New Roman" w:hAnsi="Times New Roman"/>
          <w:sz w:val="28"/>
          <w:szCs w:val="28"/>
          <w:lang w:val="en-US"/>
        </w:rPr>
        <w:t xml:space="preserve">il production dynamics was driven by the OPEC+ agreement concluded in April 2020, which led to limitations on </w:t>
      </w:r>
      <w:r w:rsidR="00386499">
        <w:rPr>
          <w:rFonts w:ascii="Times New Roman" w:hAnsi="Times New Roman"/>
          <w:sz w:val="28"/>
          <w:szCs w:val="28"/>
          <w:lang w:val="en-US"/>
        </w:rPr>
        <w:t xml:space="preserve">crude </w:t>
      </w:r>
      <w:r w:rsidR="0074021A" w:rsidRPr="0074021A">
        <w:rPr>
          <w:rFonts w:ascii="Times New Roman" w:hAnsi="Times New Roman"/>
          <w:sz w:val="28"/>
          <w:szCs w:val="28"/>
          <w:lang w:val="en-US"/>
        </w:rPr>
        <w:t xml:space="preserve">oil production by the Group in Russia and at certain international projects. </w:t>
      </w:r>
    </w:p>
    <w:p w:rsidR="0074021A" w:rsidRPr="0074021A" w:rsidRDefault="0074021A" w:rsidP="00B9662F">
      <w:pPr>
        <w:snapToGrid w:val="0"/>
        <w:spacing w:line="240" w:lineRule="auto"/>
        <w:jc w:val="both"/>
        <w:rPr>
          <w:rFonts w:ascii="Times New Roman" w:hAnsi="Times New Roman"/>
          <w:sz w:val="28"/>
          <w:szCs w:val="28"/>
          <w:lang w:val="en-US"/>
        </w:rPr>
      </w:pPr>
      <w:r w:rsidRPr="0074021A">
        <w:rPr>
          <w:rFonts w:ascii="Times New Roman" w:hAnsi="Times New Roman"/>
          <w:sz w:val="28"/>
          <w:szCs w:val="28"/>
          <w:lang w:val="en-US"/>
        </w:rPr>
        <w:t xml:space="preserve">Despite </w:t>
      </w:r>
      <w:r w:rsidR="00262C8B">
        <w:rPr>
          <w:rFonts w:ascii="Times New Roman" w:hAnsi="Times New Roman"/>
          <w:sz w:val="28"/>
          <w:szCs w:val="28"/>
          <w:lang w:val="en-US"/>
        </w:rPr>
        <w:t xml:space="preserve">the </w:t>
      </w:r>
      <w:r w:rsidRPr="0074021A">
        <w:rPr>
          <w:rFonts w:ascii="Times New Roman" w:hAnsi="Times New Roman"/>
          <w:sz w:val="28"/>
          <w:szCs w:val="28"/>
          <w:lang w:val="en-US"/>
        </w:rPr>
        <w:t xml:space="preserve">external limitations on production volumes, development of the priority projects continued. In particular, in West Siberia total </w:t>
      </w:r>
      <w:r w:rsidR="00262C8B">
        <w:rPr>
          <w:rFonts w:ascii="Times New Roman" w:hAnsi="Times New Roman"/>
          <w:sz w:val="28"/>
          <w:szCs w:val="28"/>
          <w:lang w:val="en-US"/>
        </w:rPr>
        <w:t xml:space="preserve">crude </w:t>
      </w:r>
      <w:r w:rsidRPr="0074021A">
        <w:rPr>
          <w:rFonts w:ascii="Times New Roman" w:hAnsi="Times New Roman"/>
          <w:sz w:val="28"/>
          <w:szCs w:val="28"/>
          <w:lang w:val="en-US"/>
        </w:rPr>
        <w:t>oil and gas condensate production in the first quarter of 2021 at the V. Vinogradov, Imilorskoye, Sredne-Nazymskoye and Pyakyakhinskoye fields increased by 8.3% year-on-year, to 1.1 million tonnes.</w:t>
      </w:r>
    </w:p>
    <w:p w:rsidR="0074021A" w:rsidRPr="0074021A" w:rsidRDefault="0074021A" w:rsidP="00B9662F">
      <w:pPr>
        <w:snapToGrid w:val="0"/>
        <w:spacing w:line="240" w:lineRule="auto"/>
        <w:jc w:val="both"/>
        <w:rPr>
          <w:rFonts w:ascii="Times New Roman" w:hAnsi="Times New Roman"/>
          <w:sz w:val="28"/>
          <w:szCs w:val="28"/>
          <w:lang w:val="en-US"/>
        </w:rPr>
      </w:pPr>
      <w:r w:rsidRPr="0074021A">
        <w:rPr>
          <w:rFonts w:ascii="Times New Roman" w:hAnsi="Times New Roman"/>
          <w:sz w:val="28"/>
          <w:szCs w:val="28"/>
          <w:lang w:val="en-US"/>
        </w:rPr>
        <w:t>High</w:t>
      </w:r>
      <w:r w:rsidR="00262C8B">
        <w:rPr>
          <w:rFonts w:ascii="Times New Roman" w:hAnsi="Times New Roman"/>
          <w:sz w:val="28"/>
          <w:szCs w:val="28"/>
          <w:lang w:val="en-US"/>
        </w:rPr>
        <w:t>-</w:t>
      </w:r>
      <w:r w:rsidRPr="0074021A">
        <w:rPr>
          <w:rFonts w:ascii="Times New Roman" w:hAnsi="Times New Roman"/>
          <w:sz w:val="28"/>
          <w:szCs w:val="28"/>
          <w:lang w:val="en-US"/>
        </w:rPr>
        <w:t>visco</w:t>
      </w:r>
      <w:r w:rsidR="00262C8B">
        <w:rPr>
          <w:rFonts w:ascii="Times New Roman" w:hAnsi="Times New Roman"/>
          <w:sz w:val="28"/>
          <w:szCs w:val="28"/>
          <w:lang w:val="en-US"/>
        </w:rPr>
        <w:t>us</w:t>
      </w:r>
      <w:r w:rsidRPr="0074021A">
        <w:rPr>
          <w:rFonts w:ascii="Times New Roman" w:hAnsi="Times New Roman"/>
          <w:sz w:val="28"/>
          <w:szCs w:val="28"/>
          <w:lang w:val="en-US"/>
        </w:rPr>
        <w:t xml:space="preserve"> </w:t>
      </w:r>
      <w:r w:rsidR="00262C8B">
        <w:rPr>
          <w:rFonts w:ascii="Times New Roman" w:hAnsi="Times New Roman"/>
          <w:sz w:val="28"/>
          <w:szCs w:val="28"/>
          <w:lang w:val="en-US"/>
        </w:rPr>
        <w:t xml:space="preserve">crude </w:t>
      </w:r>
      <w:r w:rsidRPr="0074021A">
        <w:rPr>
          <w:rFonts w:ascii="Times New Roman" w:hAnsi="Times New Roman"/>
          <w:sz w:val="28"/>
          <w:szCs w:val="28"/>
          <w:lang w:val="en-US"/>
        </w:rPr>
        <w:t>oil production at the Yaregskoye field and Permian reservoir of the Usinskoye field in the first quarter of 2021 increased by 4.3% year-on-year, to 1.3 million tonnes.</w:t>
      </w:r>
    </w:p>
    <w:p w:rsidR="0074021A" w:rsidRPr="0074021A" w:rsidRDefault="0074021A" w:rsidP="00B9662F">
      <w:pPr>
        <w:snapToGrid w:val="0"/>
        <w:spacing w:line="240" w:lineRule="auto"/>
        <w:jc w:val="both"/>
        <w:rPr>
          <w:rFonts w:ascii="Times New Roman" w:hAnsi="Times New Roman"/>
          <w:sz w:val="28"/>
          <w:szCs w:val="28"/>
          <w:lang w:val="en-US"/>
        </w:rPr>
      </w:pPr>
      <w:r w:rsidRPr="0074021A">
        <w:rPr>
          <w:rFonts w:ascii="Times New Roman" w:hAnsi="Times New Roman"/>
          <w:sz w:val="28"/>
          <w:szCs w:val="28"/>
          <w:lang w:val="en-US"/>
        </w:rPr>
        <w:t xml:space="preserve">Implementation of drilling programs at the V. Filanovsky and Yu. Korchagin fields in the Caspian Sea allowed to increase total </w:t>
      </w:r>
      <w:r w:rsidR="00262C8B">
        <w:rPr>
          <w:rFonts w:ascii="Times New Roman" w:hAnsi="Times New Roman"/>
          <w:sz w:val="28"/>
          <w:szCs w:val="28"/>
          <w:lang w:val="en-US"/>
        </w:rPr>
        <w:t xml:space="preserve">crude </w:t>
      </w:r>
      <w:r w:rsidRPr="0074021A">
        <w:rPr>
          <w:rFonts w:ascii="Times New Roman" w:hAnsi="Times New Roman"/>
          <w:sz w:val="28"/>
          <w:szCs w:val="28"/>
          <w:lang w:val="en-US"/>
        </w:rPr>
        <w:t xml:space="preserve">oil and gas condensate production in the first quarter of 2021 by 1.6% year-on-year, to 1.9 million tonnes. </w:t>
      </w:r>
    </w:p>
    <w:p w:rsidR="006240BD" w:rsidRPr="006240BD" w:rsidRDefault="006240BD" w:rsidP="00B9662F">
      <w:pPr>
        <w:snapToGrid w:val="0"/>
        <w:spacing w:line="240" w:lineRule="auto"/>
        <w:jc w:val="both"/>
        <w:rPr>
          <w:rFonts w:ascii="Times New Roman" w:hAnsi="Times New Roman"/>
          <w:sz w:val="28"/>
          <w:szCs w:val="28"/>
          <w:lang w:val="en-US"/>
        </w:rPr>
      </w:pPr>
      <w:r w:rsidRPr="006240BD">
        <w:rPr>
          <w:rFonts w:ascii="Times New Roman" w:hAnsi="Times New Roman"/>
          <w:sz w:val="28"/>
          <w:szCs w:val="28"/>
          <w:lang w:val="en-US"/>
        </w:rPr>
        <w:t xml:space="preserve">The share of the abovementioned projects in the LUKOIL Group's </w:t>
      </w:r>
      <w:r w:rsidR="00262C8B">
        <w:rPr>
          <w:rFonts w:ascii="Times New Roman" w:hAnsi="Times New Roman"/>
          <w:sz w:val="28"/>
          <w:szCs w:val="28"/>
          <w:lang w:val="en-US"/>
        </w:rPr>
        <w:t xml:space="preserve">crude </w:t>
      </w:r>
      <w:r w:rsidRPr="006240BD">
        <w:rPr>
          <w:rFonts w:ascii="Times New Roman" w:hAnsi="Times New Roman"/>
          <w:sz w:val="28"/>
          <w:szCs w:val="28"/>
          <w:lang w:val="en-US"/>
        </w:rPr>
        <w:t>oil production excluding the West Qurna-2 project amounted to 23% in the first quarter of 2021 as compared to 19% in the first quarter of 2020.</w:t>
      </w:r>
    </w:p>
    <w:p w:rsidR="006240BD" w:rsidRDefault="006240BD" w:rsidP="00B9662F">
      <w:pPr>
        <w:snapToGrid w:val="0"/>
        <w:spacing w:line="240" w:lineRule="auto"/>
        <w:jc w:val="both"/>
        <w:rPr>
          <w:rFonts w:ascii="Times New Roman" w:hAnsi="Times New Roman"/>
          <w:i/>
          <w:sz w:val="28"/>
          <w:szCs w:val="28"/>
          <w:lang w:val="en-US"/>
        </w:rPr>
      </w:pPr>
    </w:p>
    <w:p w:rsidR="00B9662F" w:rsidRPr="006240BD" w:rsidRDefault="006240BD" w:rsidP="00B9662F">
      <w:pPr>
        <w:snapToGrid w:val="0"/>
        <w:spacing w:line="240" w:lineRule="auto"/>
        <w:jc w:val="both"/>
        <w:rPr>
          <w:rFonts w:ascii="Times New Roman" w:hAnsi="Times New Roman"/>
          <w:i/>
          <w:sz w:val="28"/>
          <w:szCs w:val="28"/>
          <w:lang w:val="en-US"/>
        </w:rPr>
      </w:pPr>
      <w:r>
        <w:rPr>
          <w:rFonts w:ascii="Times New Roman" w:hAnsi="Times New Roman"/>
          <w:i/>
          <w:sz w:val="28"/>
          <w:szCs w:val="28"/>
          <w:lang w:val="en-US"/>
        </w:rPr>
        <w:lastRenderedPageBreak/>
        <w:t>Gas</w:t>
      </w:r>
    </w:p>
    <w:p w:rsidR="006240BD" w:rsidRPr="006240BD" w:rsidRDefault="006240BD" w:rsidP="00B9662F">
      <w:pPr>
        <w:snapToGrid w:val="0"/>
        <w:spacing w:line="240" w:lineRule="auto"/>
        <w:jc w:val="both"/>
        <w:rPr>
          <w:rFonts w:ascii="Times New Roman" w:hAnsi="Times New Roman"/>
          <w:sz w:val="28"/>
          <w:szCs w:val="28"/>
          <w:lang w:val="en-US"/>
        </w:rPr>
      </w:pPr>
      <w:r w:rsidRPr="006240BD">
        <w:rPr>
          <w:rFonts w:ascii="Times New Roman" w:hAnsi="Times New Roman"/>
          <w:sz w:val="28"/>
          <w:szCs w:val="28"/>
          <w:lang w:val="en-US"/>
        </w:rPr>
        <w:t>In the first quarter of 2021, gas production increased in average daily terms by 9.</w:t>
      </w:r>
      <w:r>
        <w:rPr>
          <w:rFonts w:ascii="Times New Roman" w:hAnsi="Times New Roman"/>
          <w:sz w:val="28"/>
          <w:szCs w:val="28"/>
          <w:lang w:val="en-US"/>
        </w:rPr>
        <w:t>1</w:t>
      </w:r>
      <w:r w:rsidRPr="006240BD">
        <w:rPr>
          <w:rFonts w:ascii="Times New Roman" w:hAnsi="Times New Roman"/>
          <w:sz w:val="28"/>
          <w:szCs w:val="28"/>
          <w:lang w:val="en-US"/>
        </w:rPr>
        <w:t>% quarter-on-quarter and by 5.</w:t>
      </w:r>
      <w:r>
        <w:rPr>
          <w:rFonts w:ascii="Times New Roman" w:hAnsi="Times New Roman"/>
          <w:sz w:val="28"/>
          <w:szCs w:val="28"/>
          <w:lang w:val="en-US"/>
        </w:rPr>
        <w:t>5</w:t>
      </w:r>
      <w:r w:rsidRPr="006240BD">
        <w:rPr>
          <w:rFonts w:ascii="Times New Roman" w:hAnsi="Times New Roman"/>
          <w:sz w:val="28"/>
          <w:szCs w:val="28"/>
          <w:lang w:val="en-US"/>
        </w:rPr>
        <w:t>% year-on-year, to 8.8 billion cubic meters.</w:t>
      </w:r>
    </w:p>
    <w:p w:rsidR="006240BD" w:rsidRPr="006240BD" w:rsidRDefault="006240BD" w:rsidP="00B9662F">
      <w:pPr>
        <w:snapToGrid w:val="0"/>
        <w:spacing w:line="240" w:lineRule="auto"/>
        <w:jc w:val="both"/>
        <w:rPr>
          <w:rFonts w:ascii="Times New Roman" w:hAnsi="Times New Roman"/>
          <w:sz w:val="28"/>
          <w:szCs w:val="28"/>
          <w:lang w:val="en-US"/>
        </w:rPr>
      </w:pPr>
      <w:r w:rsidRPr="006240BD">
        <w:rPr>
          <w:rFonts w:ascii="Times New Roman" w:hAnsi="Times New Roman"/>
          <w:sz w:val="28"/>
          <w:szCs w:val="28"/>
          <w:lang w:val="en-US"/>
        </w:rPr>
        <w:t xml:space="preserve">In Russia gas production increased in average daily terms by 1.1% quarter-on-quarter and decreased by 7.6% year-on-year, to 4.3 billion cubic meters. Dynamics of gas production in Russia was </w:t>
      </w:r>
      <w:r w:rsidR="00262C8B">
        <w:rPr>
          <w:rFonts w:ascii="Times New Roman" w:hAnsi="Times New Roman"/>
          <w:sz w:val="28"/>
          <w:szCs w:val="28"/>
          <w:lang w:val="en-US"/>
        </w:rPr>
        <w:t xml:space="preserve">mainly </w:t>
      </w:r>
      <w:r w:rsidRPr="006240BD">
        <w:rPr>
          <w:rFonts w:ascii="Times New Roman" w:hAnsi="Times New Roman"/>
          <w:sz w:val="28"/>
          <w:szCs w:val="28"/>
          <w:lang w:val="en-US"/>
        </w:rPr>
        <w:t xml:space="preserve">driven by the change in associated petroleum gas production due to the external limitations on </w:t>
      </w:r>
      <w:r w:rsidR="00262C8B">
        <w:rPr>
          <w:rFonts w:ascii="Times New Roman" w:hAnsi="Times New Roman"/>
          <w:sz w:val="28"/>
          <w:szCs w:val="28"/>
          <w:lang w:val="en-US"/>
        </w:rPr>
        <w:t xml:space="preserve">crude </w:t>
      </w:r>
      <w:r w:rsidRPr="006240BD">
        <w:rPr>
          <w:rFonts w:ascii="Times New Roman" w:hAnsi="Times New Roman"/>
          <w:sz w:val="28"/>
          <w:szCs w:val="28"/>
          <w:lang w:val="en-US"/>
        </w:rPr>
        <w:t>oil production.</w:t>
      </w:r>
    </w:p>
    <w:p w:rsidR="00B9662F" w:rsidRPr="006240BD" w:rsidRDefault="006240BD" w:rsidP="00B9662F">
      <w:pPr>
        <w:snapToGrid w:val="0"/>
        <w:spacing w:line="240" w:lineRule="auto"/>
        <w:jc w:val="both"/>
        <w:rPr>
          <w:rFonts w:ascii="Times New Roman" w:hAnsi="Times New Roman"/>
          <w:sz w:val="28"/>
          <w:szCs w:val="28"/>
          <w:lang w:val="en-US"/>
        </w:rPr>
      </w:pPr>
      <w:r w:rsidRPr="006240BD">
        <w:rPr>
          <w:rFonts w:ascii="Times New Roman" w:hAnsi="Times New Roman"/>
          <w:sz w:val="28"/>
          <w:szCs w:val="28"/>
          <w:lang w:val="en-US"/>
        </w:rPr>
        <w:t>Outside Russia gas production increased in average daily terms by 18.1% quarter-on-quarter and by 22.1% year-on-year, to 4.5 billion cubic meters. The growth was driven by recovery of gas production in Uzbekistan after temporary decline in 2020 due to lower demand from China for gas produced in Uzbekistan amid the COVID-19 pandemic.</w:t>
      </w:r>
    </w:p>
    <w:p w:rsidR="00B9662F" w:rsidRPr="00CF0D30" w:rsidRDefault="00B9662F" w:rsidP="00B9662F">
      <w:pPr>
        <w:snapToGrid w:val="0"/>
        <w:spacing w:line="240" w:lineRule="auto"/>
        <w:jc w:val="both"/>
        <w:rPr>
          <w:rFonts w:ascii="Times New Roman" w:hAnsi="Times New Roman"/>
          <w:i/>
          <w:sz w:val="28"/>
          <w:szCs w:val="28"/>
          <w:lang w:val="en-US"/>
        </w:rPr>
      </w:pPr>
    </w:p>
    <w:p w:rsidR="00B9662F" w:rsidRPr="006240BD" w:rsidRDefault="006240BD" w:rsidP="00B9662F">
      <w:pPr>
        <w:snapToGrid w:val="0"/>
        <w:spacing w:line="240" w:lineRule="auto"/>
        <w:jc w:val="both"/>
        <w:rPr>
          <w:rFonts w:ascii="Times New Roman" w:hAnsi="Times New Roman"/>
          <w:i/>
          <w:sz w:val="28"/>
          <w:szCs w:val="28"/>
          <w:lang w:val="en-US"/>
        </w:rPr>
      </w:pPr>
      <w:r>
        <w:rPr>
          <w:rFonts w:ascii="Times New Roman" w:hAnsi="Times New Roman"/>
          <w:i/>
          <w:sz w:val="28"/>
          <w:szCs w:val="28"/>
          <w:lang w:val="en-US"/>
        </w:rPr>
        <w:t>Refined products</w:t>
      </w:r>
    </w:p>
    <w:p w:rsidR="00712D3C" w:rsidRDefault="006240BD" w:rsidP="00B9662F">
      <w:pPr>
        <w:snapToGrid w:val="0"/>
        <w:spacing w:line="240" w:lineRule="auto"/>
        <w:jc w:val="both"/>
        <w:rPr>
          <w:rFonts w:ascii="Times New Roman" w:hAnsi="Times New Roman"/>
          <w:sz w:val="28"/>
          <w:szCs w:val="28"/>
          <w:lang w:val="en-US"/>
        </w:rPr>
      </w:pPr>
      <w:r w:rsidRPr="006240BD">
        <w:rPr>
          <w:rFonts w:ascii="Times New Roman" w:hAnsi="Times New Roman"/>
          <w:sz w:val="28"/>
          <w:szCs w:val="28"/>
          <w:lang w:val="en-US"/>
        </w:rPr>
        <w:t>In the first quarter of 2021</w:t>
      </w:r>
      <w:r w:rsidR="00262C8B">
        <w:rPr>
          <w:rFonts w:ascii="Times New Roman" w:hAnsi="Times New Roman"/>
          <w:sz w:val="28"/>
          <w:szCs w:val="28"/>
          <w:lang w:val="en-US"/>
        </w:rPr>
        <w:t>,</w:t>
      </w:r>
      <w:r w:rsidRPr="006240BD">
        <w:rPr>
          <w:rFonts w:ascii="Times New Roman" w:hAnsi="Times New Roman"/>
          <w:sz w:val="28"/>
          <w:szCs w:val="28"/>
          <w:lang w:val="en-US"/>
        </w:rPr>
        <w:t xml:space="preserve"> production of refined products at LUKOIL Group's refineries was </w:t>
      </w:r>
      <w:r>
        <w:rPr>
          <w:rFonts w:ascii="Times New Roman" w:hAnsi="Times New Roman"/>
          <w:sz w:val="28"/>
          <w:szCs w:val="28"/>
          <w:lang w:val="en-US"/>
        </w:rPr>
        <w:t>13.6</w:t>
      </w:r>
      <w:r w:rsidRPr="006240BD">
        <w:rPr>
          <w:rFonts w:ascii="Times New Roman" w:hAnsi="Times New Roman"/>
          <w:sz w:val="28"/>
          <w:szCs w:val="28"/>
          <w:lang w:val="en-US"/>
        </w:rPr>
        <w:t xml:space="preserve"> million tonnes, which is 9.</w:t>
      </w:r>
      <w:r>
        <w:rPr>
          <w:rFonts w:ascii="Times New Roman" w:hAnsi="Times New Roman"/>
          <w:sz w:val="28"/>
          <w:szCs w:val="28"/>
          <w:lang w:val="en-US"/>
        </w:rPr>
        <w:t>8</w:t>
      </w:r>
      <w:r w:rsidRPr="006240BD">
        <w:rPr>
          <w:rFonts w:ascii="Times New Roman" w:hAnsi="Times New Roman"/>
          <w:sz w:val="28"/>
          <w:szCs w:val="28"/>
          <w:lang w:val="en-US"/>
        </w:rPr>
        <w:t xml:space="preserve">% higher quarter-on-quarter, and </w:t>
      </w:r>
      <w:r>
        <w:rPr>
          <w:rFonts w:ascii="Times New Roman" w:hAnsi="Times New Roman"/>
          <w:sz w:val="28"/>
          <w:szCs w:val="28"/>
          <w:lang w:val="en-US"/>
        </w:rPr>
        <w:t>14.7</w:t>
      </w:r>
      <w:r w:rsidRPr="006240BD">
        <w:rPr>
          <w:rFonts w:ascii="Times New Roman" w:hAnsi="Times New Roman"/>
          <w:sz w:val="28"/>
          <w:szCs w:val="28"/>
          <w:lang w:val="en-US"/>
        </w:rPr>
        <w:t>% lower year-on-year. The dynamics of production was attributable to scheduled maintenance works and throughput optimization at some of the refineries driven by the changes in macro environment.</w:t>
      </w:r>
    </w:p>
    <w:p w:rsidR="006240BD" w:rsidRPr="006240BD" w:rsidRDefault="006240BD" w:rsidP="00B9662F">
      <w:pPr>
        <w:snapToGrid w:val="0"/>
        <w:spacing w:line="240" w:lineRule="auto"/>
        <w:jc w:val="both"/>
        <w:rPr>
          <w:rFonts w:ascii="Times New Roman" w:hAnsi="Times New Roman"/>
          <w:sz w:val="28"/>
          <w:szCs w:val="28"/>
          <w:lang w:val="en-US"/>
        </w:rPr>
      </w:pPr>
      <w:r>
        <w:rPr>
          <w:rFonts w:ascii="Times New Roman" w:hAnsi="Times New Roman"/>
          <w:sz w:val="28"/>
          <w:szCs w:val="28"/>
          <w:lang w:val="en-US"/>
        </w:rPr>
        <w:t>P</w:t>
      </w:r>
      <w:r w:rsidRPr="006240BD">
        <w:rPr>
          <w:rFonts w:ascii="Times New Roman" w:hAnsi="Times New Roman"/>
          <w:sz w:val="28"/>
          <w:szCs w:val="28"/>
          <w:lang w:val="en-US"/>
        </w:rPr>
        <w:t xml:space="preserve">roduction of refined products in Russia in the first quarter of 2021 increased by </w:t>
      </w:r>
      <w:r>
        <w:rPr>
          <w:rFonts w:ascii="Times New Roman" w:hAnsi="Times New Roman"/>
          <w:sz w:val="28"/>
          <w:szCs w:val="28"/>
          <w:lang w:val="en-US"/>
        </w:rPr>
        <w:t>2.5</w:t>
      </w:r>
      <w:r w:rsidRPr="006240BD">
        <w:rPr>
          <w:rFonts w:ascii="Times New Roman" w:hAnsi="Times New Roman"/>
          <w:sz w:val="28"/>
          <w:szCs w:val="28"/>
          <w:lang w:val="en-US"/>
        </w:rPr>
        <w:t xml:space="preserve">% quarter-on-quarter, to </w:t>
      </w:r>
      <w:r>
        <w:rPr>
          <w:rFonts w:ascii="Times New Roman" w:hAnsi="Times New Roman"/>
          <w:sz w:val="28"/>
          <w:szCs w:val="28"/>
          <w:lang w:val="en-US"/>
        </w:rPr>
        <w:t>9.5</w:t>
      </w:r>
      <w:r w:rsidRPr="006240BD">
        <w:rPr>
          <w:rFonts w:ascii="Times New Roman" w:hAnsi="Times New Roman"/>
          <w:sz w:val="28"/>
          <w:szCs w:val="28"/>
          <w:lang w:val="en-US"/>
        </w:rPr>
        <w:t xml:space="preserve"> million tonnes</w:t>
      </w:r>
      <w:r w:rsidR="00262C8B">
        <w:rPr>
          <w:rFonts w:ascii="Times New Roman" w:hAnsi="Times New Roman"/>
          <w:sz w:val="28"/>
          <w:szCs w:val="28"/>
          <w:lang w:val="en-US"/>
        </w:rPr>
        <w:t>,</w:t>
      </w:r>
      <w:r w:rsidRPr="006240BD">
        <w:rPr>
          <w:rFonts w:ascii="Times New Roman" w:hAnsi="Times New Roman"/>
          <w:sz w:val="28"/>
          <w:szCs w:val="28"/>
          <w:lang w:val="en-US"/>
        </w:rPr>
        <w:t xml:space="preserve"> due to scheduled maintenance works in the fourth quarter of 2020. </w:t>
      </w:r>
      <w:r>
        <w:rPr>
          <w:rFonts w:ascii="Times New Roman" w:hAnsi="Times New Roman"/>
          <w:sz w:val="28"/>
          <w:szCs w:val="28"/>
          <w:lang w:val="en-US"/>
        </w:rPr>
        <w:t>P</w:t>
      </w:r>
      <w:r w:rsidRPr="006240BD">
        <w:rPr>
          <w:rFonts w:ascii="Times New Roman" w:hAnsi="Times New Roman"/>
          <w:sz w:val="28"/>
          <w:szCs w:val="28"/>
          <w:lang w:val="en-US"/>
        </w:rPr>
        <w:t xml:space="preserve">roduction of refined products in Europe in the first quarter of 2021 increased by </w:t>
      </w:r>
      <w:r>
        <w:rPr>
          <w:rFonts w:ascii="Times New Roman" w:hAnsi="Times New Roman"/>
          <w:sz w:val="28"/>
          <w:szCs w:val="28"/>
          <w:lang w:val="en-US"/>
        </w:rPr>
        <w:t>31.0</w:t>
      </w:r>
      <w:r w:rsidRPr="006240BD">
        <w:rPr>
          <w:rFonts w:ascii="Times New Roman" w:hAnsi="Times New Roman"/>
          <w:sz w:val="28"/>
          <w:szCs w:val="28"/>
          <w:lang w:val="en-US"/>
        </w:rPr>
        <w:t>% quarter-on-quarter</w:t>
      </w:r>
      <w:r w:rsidR="00262C8B">
        <w:rPr>
          <w:rFonts w:ascii="Times New Roman" w:hAnsi="Times New Roman"/>
          <w:sz w:val="28"/>
          <w:szCs w:val="28"/>
          <w:lang w:val="en-US"/>
        </w:rPr>
        <w:t>,</w:t>
      </w:r>
      <w:r w:rsidRPr="006240BD">
        <w:rPr>
          <w:rFonts w:ascii="Times New Roman" w:hAnsi="Times New Roman"/>
          <w:sz w:val="28"/>
          <w:szCs w:val="28"/>
          <w:lang w:val="en-US"/>
        </w:rPr>
        <w:t xml:space="preserve"> to 4.</w:t>
      </w:r>
      <w:r>
        <w:rPr>
          <w:rFonts w:ascii="Times New Roman" w:hAnsi="Times New Roman"/>
          <w:sz w:val="28"/>
          <w:szCs w:val="28"/>
          <w:lang w:val="en-US"/>
        </w:rPr>
        <w:t>1</w:t>
      </w:r>
      <w:r w:rsidRPr="006240BD">
        <w:rPr>
          <w:rFonts w:ascii="Times New Roman" w:hAnsi="Times New Roman"/>
          <w:sz w:val="28"/>
          <w:szCs w:val="28"/>
          <w:lang w:val="en-US"/>
        </w:rPr>
        <w:t xml:space="preserve"> million tonnes</w:t>
      </w:r>
      <w:r w:rsidR="00262C8B">
        <w:rPr>
          <w:rFonts w:ascii="Times New Roman" w:hAnsi="Times New Roman"/>
          <w:sz w:val="28"/>
          <w:szCs w:val="28"/>
          <w:lang w:val="en-US"/>
        </w:rPr>
        <w:t>,</w:t>
      </w:r>
      <w:r w:rsidRPr="006240BD">
        <w:rPr>
          <w:rFonts w:ascii="Times New Roman" w:hAnsi="Times New Roman"/>
          <w:sz w:val="28"/>
          <w:szCs w:val="28"/>
          <w:lang w:val="en-US"/>
        </w:rPr>
        <w:t xml:space="preserve"> mainly due to scheduled maintenance works and throughput optimization at refineries in Italy and Bulgaria in the fourth quarter of 2020.</w:t>
      </w:r>
    </w:p>
    <w:p w:rsidR="00603B5C" w:rsidRDefault="00603B5C" w:rsidP="00603B5C">
      <w:pPr>
        <w:snapToGrid w:val="0"/>
        <w:spacing w:line="240" w:lineRule="auto"/>
        <w:jc w:val="both"/>
        <w:rPr>
          <w:rFonts w:ascii="Times New Roman" w:hAnsi="Times New Roman"/>
          <w:sz w:val="28"/>
          <w:szCs w:val="28"/>
          <w:lang w:val="en-US"/>
        </w:rPr>
      </w:pPr>
    </w:p>
    <w:p w:rsidR="00442501" w:rsidRPr="00442501" w:rsidRDefault="00442501" w:rsidP="00442501">
      <w:pPr>
        <w:snapToGrid w:val="0"/>
        <w:spacing w:line="240" w:lineRule="auto"/>
        <w:jc w:val="both"/>
        <w:rPr>
          <w:rFonts w:ascii="Times New Roman" w:hAnsi="Times New Roman"/>
          <w:sz w:val="28"/>
          <w:szCs w:val="28"/>
          <w:lang w:val="en-US"/>
        </w:rPr>
      </w:pPr>
      <w:hyperlink r:id="rId8" w:history="1">
        <w:r w:rsidRPr="008F7708">
          <w:rPr>
            <w:rStyle w:val="a9"/>
            <w:rFonts w:ascii="Times New Roman" w:hAnsi="Times New Roman"/>
            <w:sz w:val="28"/>
            <w:szCs w:val="28"/>
            <w:lang w:val="en-US"/>
          </w:rPr>
          <w:t>http://www.rns-pdf.londonstockexchange.com/rns/8821Z_1-2021-5-26.pdf</w:t>
        </w:r>
      </w:hyperlink>
      <w:r>
        <w:rPr>
          <w:rFonts w:ascii="Times New Roman" w:hAnsi="Times New Roman"/>
          <w:sz w:val="28"/>
          <w:szCs w:val="28"/>
          <w:lang w:val="en-US"/>
        </w:rPr>
        <w:t xml:space="preserve"> </w:t>
      </w:r>
    </w:p>
    <w:p w:rsidR="00603B5C" w:rsidRPr="00D34530" w:rsidRDefault="00442501" w:rsidP="00442501">
      <w:pPr>
        <w:snapToGrid w:val="0"/>
        <w:spacing w:line="240" w:lineRule="auto"/>
        <w:jc w:val="both"/>
        <w:rPr>
          <w:rFonts w:ascii="Times New Roman" w:hAnsi="Times New Roman"/>
          <w:sz w:val="28"/>
          <w:szCs w:val="28"/>
          <w:lang w:val="en-US"/>
        </w:rPr>
      </w:pPr>
      <w:hyperlink r:id="rId9" w:history="1">
        <w:r w:rsidRPr="008F7708">
          <w:rPr>
            <w:rStyle w:val="a9"/>
            <w:rFonts w:ascii="Times New Roman" w:hAnsi="Times New Roman"/>
            <w:sz w:val="28"/>
            <w:szCs w:val="28"/>
            <w:lang w:val="en-US"/>
          </w:rPr>
          <w:t>http://www.rns-pdf.londonstockexchange.com/rns/8821Z_2-2021-5-26.pdf</w:t>
        </w:r>
      </w:hyperlink>
      <w:r>
        <w:rPr>
          <w:rFonts w:ascii="Times New Roman" w:hAnsi="Times New Roman"/>
          <w:sz w:val="28"/>
          <w:szCs w:val="28"/>
          <w:lang w:val="en-US"/>
        </w:rPr>
        <w:t xml:space="preserve"> </w:t>
      </w:r>
    </w:p>
    <w:p w:rsidR="00B9662F" w:rsidRDefault="00B9662F" w:rsidP="00B9662F">
      <w:pPr>
        <w:snapToGrid w:val="0"/>
        <w:spacing w:line="240" w:lineRule="auto"/>
        <w:jc w:val="both"/>
        <w:rPr>
          <w:rFonts w:ascii="Times New Roman" w:hAnsi="Times New Roman"/>
          <w:sz w:val="28"/>
          <w:szCs w:val="28"/>
          <w:lang w:val="en-US"/>
        </w:rPr>
      </w:pPr>
    </w:p>
    <w:p w:rsidR="00B9662F" w:rsidRPr="006240BD" w:rsidRDefault="006240BD" w:rsidP="00B9662F">
      <w:pPr>
        <w:snapToGrid w:val="0"/>
        <w:spacing w:line="240" w:lineRule="auto"/>
        <w:jc w:val="both"/>
        <w:rPr>
          <w:rFonts w:ascii="Times New Roman" w:hAnsi="Times New Roman"/>
          <w:i/>
          <w:szCs w:val="28"/>
          <w:lang w:val="en-US"/>
        </w:rPr>
      </w:pPr>
      <w:r>
        <w:rPr>
          <w:rFonts w:ascii="Times New Roman" w:hAnsi="Times New Roman"/>
          <w:i/>
          <w:szCs w:val="28"/>
          <w:lang w:val="en-US"/>
        </w:rPr>
        <w:t>Information</w:t>
      </w:r>
      <w:r w:rsidR="00B9662F" w:rsidRPr="006240BD">
        <w:rPr>
          <w:rFonts w:ascii="Times New Roman" w:hAnsi="Times New Roman"/>
          <w:i/>
          <w:szCs w:val="28"/>
          <w:lang w:val="en-US"/>
        </w:rPr>
        <w:t xml:space="preserve">: </w:t>
      </w:r>
      <w:bookmarkStart w:id="0" w:name="_GoBack"/>
      <w:bookmarkEnd w:id="0"/>
    </w:p>
    <w:p w:rsidR="006240BD" w:rsidRPr="006240BD" w:rsidRDefault="006240BD" w:rsidP="00B9662F">
      <w:pPr>
        <w:snapToGrid w:val="0"/>
        <w:spacing w:line="240" w:lineRule="auto"/>
        <w:jc w:val="both"/>
        <w:rPr>
          <w:rFonts w:ascii="Times New Roman" w:hAnsi="Times New Roman"/>
          <w:i/>
          <w:szCs w:val="28"/>
          <w:lang w:val="en-US"/>
        </w:rPr>
      </w:pPr>
      <w:r w:rsidRPr="006240BD">
        <w:rPr>
          <w:rFonts w:ascii="Times New Roman" w:hAnsi="Times New Roman"/>
          <w:i/>
          <w:szCs w:val="28"/>
          <w:lang w:val="en-US"/>
        </w:rPr>
        <w:t>Full set of PJSC “LUKOIL” condensed interim consolidated financial statements prepared in accordance with IFRS for the first quarter of 202</w:t>
      </w:r>
      <w:r>
        <w:rPr>
          <w:rFonts w:ascii="Times New Roman" w:hAnsi="Times New Roman"/>
          <w:i/>
          <w:szCs w:val="28"/>
          <w:lang w:val="en-US"/>
        </w:rPr>
        <w:t>1</w:t>
      </w:r>
      <w:r w:rsidRPr="006240BD">
        <w:rPr>
          <w:rFonts w:ascii="Times New Roman" w:hAnsi="Times New Roman"/>
          <w:i/>
          <w:szCs w:val="28"/>
          <w:lang w:val="en-US"/>
        </w:rPr>
        <w:t xml:space="preserve"> is available on the Company’s web site: www.lukoil.com. These condensed interim consolidated financial statements have been prepared by the Company in accordance with IFRS and have not been audited by our independent auditor. If these financial statements are audited in the future, the audit could reveal discrepancies, and we cannot give any assurance that any such discrepancies would not be material.</w:t>
      </w:r>
    </w:p>
    <w:p w:rsidR="006240BD" w:rsidRPr="00CF0D30" w:rsidRDefault="006240BD" w:rsidP="00B9662F">
      <w:pPr>
        <w:snapToGrid w:val="0"/>
        <w:spacing w:line="240" w:lineRule="auto"/>
        <w:jc w:val="both"/>
        <w:rPr>
          <w:rFonts w:ascii="Times New Roman" w:hAnsi="Times New Roman"/>
          <w:i/>
          <w:szCs w:val="28"/>
          <w:lang w:val="en-US"/>
        </w:rPr>
      </w:pPr>
      <w:r w:rsidRPr="00CF0D30">
        <w:rPr>
          <w:rFonts w:ascii="Times New Roman" w:hAnsi="Times New Roman"/>
          <w:i/>
          <w:szCs w:val="28"/>
          <w:lang w:val="en-US"/>
        </w:rPr>
        <w:t xml:space="preserve">PJSC LUKOIL is one of the largest publicly traded, vertically integrated oil and gas companies in the world in terms of proved hydrocarbon reserves and production; and the second largest producer of crude oil in </w:t>
      </w:r>
      <w:r w:rsidRPr="00CF0D30">
        <w:rPr>
          <w:rFonts w:ascii="Times New Roman" w:hAnsi="Times New Roman"/>
          <w:i/>
          <w:szCs w:val="28"/>
          <w:lang w:val="en-US"/>
        </w:rPr>
        <w:lastRenderedPageBreak/>
        <w:t xml:space="preserve">Russia. Established in 1991, the Company currently operates in more than 30 countries with core upstream assets located in Russia. </w:t>
      </w:r>
      <w:r w:rsidRPr="006240BD">
        <w:rPr>
          <w:rFonts w:ascii="Times New Roman" w:hAnsi="Times New Roman"/>
          <w:i/>
          <w:szCs w:val="28"/>
          <w:lang w:val="en-US"/>
        </w:rPr>
        <w:t xml:space="preserve">The full production cycle includes oil and gas exploration, production and refining; production of petrochemicals and lubricants; power generation, marketing and distribution. </w:t>
      </w:r>
      <w:r w:rsidRPr="00CF0D30">
        <w:rPr>
          <w:rFonts w:ascii="Times New Roman" w:hAnsi="Times New Roman"/>
          <w:i/>
          <w:szCs w:val="28"/>
          <w:lang w:val="en-US"/>
        </w:rPr>
        <w:t>The Company’s shares are listed in Russia on Moscow Exchange under the ticker “LKOH” and depositary receipts are listed on the London Stock Exchange under the ticker “LKOD".</w:t>
      </w:r>
    </w:p>
    <w:p w:rsidR="00C8726D" w:rsidRPr="006240BD" w:rsidRDefault="00C8726D" w:rsidP="00B9662F">
      <w:pPr>
        <w:rPr>
          <w:lang w:val="en-US"/>
        </w:rPr>
      </w:pPr>
    </w:p>
    <w:sectPr w:rsidR="00C8726D" w:rsidRPr="006240BD" w:rsidSect="0005552C">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4F" w:rsidRDefault="0043764F" w:rsidP="002A1CB1">
      <w:pPr>
        <w:spacing w:after="0" w:line="240" w:lineRule="auto"/>
      </w:pPr>
      <w:r>
        <w:separator/>
      </w:r>
    </w:p>
  </w:endnote>
  <w:endnote w:type="continuationSeparator" w:id="0">
    <w:p w:rsidR="0043764F" w:rsidRDefault="0043764F" w:rsidP="002A1CB1">
      <w:pPr>
        <w:spacing w:after="0" w:line="240" w:lineRule="auto"/>
      </w:pPr>
      <w:r>
        <w:continuationSeparator/>
      </w:r>
    </w:p>
  </w:endnote>
  <w:endnote w:type="continuationNotice" w:id="1">
    <w:p w:rsidR="0043764F" w:rsidRDefault="00437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B1" w:rsidRPr="00DD34EE" w:rsidRDefault="002A1CB1" w:rsidP="002A1CB1">
    <w:pPr>
      <w:autoSpaceDE w:val="0"/>
      <w:autoSpaceDN w:val="0"/>
      <w:adjustRightInd w:val="0"/>
      <w:spacing w:after="0" w:line="240" w:lineRule="auto"/>
      <w:rPr>
        <w:rFonts w:ascii="Times New Roman" w:hAnsi="Times New Roman"/>
        <w:sz w:val="20"/>
        <w:szCs w:val="20"/>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4F" w:rsidRDefault="0043764F" w:rsidP="002A1CB1">
      <w:pPr>
        <w:spacing w:after="0" w:line="240" w:lineRule="auto"/>
      </w:pPr>
      <w:r>
        <w:separator/>
      </w:r>
    </w:p>
  </w:footnote>
  <w:footnote w:type="continuationSeparator" w:id="0">
    <w:p w:rsidR="0043764F" w:rsidRDefault="0043764F" w:rsidP="002A1CB1">
      <w:pPr>
        <w:spacing w:after="0" w:line="240" w:lineRule="auto"/>
      </w:pPr>
      <w:r>
        <w:continuationSeparator/>
      </w:r>
    </w:p>
  </w:footnote>
  <w:footnote w:type="continuationNotice" w:id="1">
    <w:p w:rsidR="0043764F" w:rsidRDefault="0043764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B1" w:rsidRDefault="002A1CB1" w:rsidP="00603B5C">
    <w:pPr>
      <w:pStyle w:val="a3"/>
      <w:tabs>
        <w:tab w:val="clear" w:pos="4677"/>
        <w:tab w:val="clear" w:pos="9355"/>
        <w:tab w:val="left" w:pos="30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0155"/>
    <w:multiLevelType w:val="hybridMultilevel"/>
    <w:tmpl w:val="769A5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CDD138D"/>
    <w:multiLevelType w:val="hybridMultilevel"/>
    <w:tmpl w:val="801E8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EA0250F"/>
    <w:multiLevelType w:val="hybridMultilevel"/>
    <w:tmpl w:val="4D74E9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DAA5EA2"/>
    <w:multiLevelType w:val="multilevel"/>
    <w:tmpl w:val="8C58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B1"/>
    <w:rsid w:val="0000218A"/>
    <w:rsid w:val="00002F7A"/>
    <w:rsid w:val="000143DF"/>
    <w:rsid w:val="00015AF4"/>
    <w:rsid w:val="00015CD2"/>
    <w:rsid w:val="000210B5"/>
    <w:rsid w:val="00022807"/>
    <w:rsid w:val="00024AFE"/>
    <w:rsid w:val="00031096"/>
    <w:rsid w:val="0003253B"/>
    <w:rsid w:val="000335EB"/>
    <w:rsid w:val="0003453D"/>
    <w:rsid w:val="00037037"/>
    <w:rsid w:val="000419D5"/>
    <w:rsid w:val="00041EA5"/>
    <w:rsid w:val="000431FD"/>
    <w:rsid w:val="00045620"/>
    <w:rsid w:val="0004766F"/>
    <w:rsid w:val="00047786"/>
    <w:rsid w:val="00050373"/>
    <w:rsid w:val="00051189"/>
    <w:rsid w:val="0005123A"/>
    <w:rsid w:val="000514EC"/>
    <w:rsid w:val="0005278A"/>
    <w:rsid w:val="00053C71"/>
    <w:rsid w:val="0005552C"/>
    <w:rsid w:val="0006214A"/>
    <w:rsid w:val="000626A7"/>
    <w:rsid w:val="00063C3B"/>
    <w:rsid w:val="000655EC"/>
    <w:rsid w:val="000666C2"/>
    <w:rsid w:val="00074607"/>
    <w:rsid w:val="00075009"/>
    <w:rsid w:val="000779A3"/>
    <w:rsid w:val="00083599"/>
    <w:rsid w:val="000901A2"/>
    <w:rsid w:val="00090DE2"/>
    <w:rsid w:val="00094AE0"/>
    <w:rsid w:val="00097A30"/>
    <w:rsid w:val="000A0875"/>
    <w:rsid w:val="000A0A7D"/>
    <w:rsid w:val="000A1CC4"/>
    <w:rsid w:val="000A440E"/>
    <w:rsid w:val="000A6514"/>
    <w:rsid w:val="000B4305"/>
    <w:rsid w:val="000B7A6A"/>
    <w:rsid w:val="000C1506"/>
    <w:rsid w:val="000C765E"/>
    <w:rsid w:val="000D2612"/>
    <w:rsid w:val="000D3AA4"/>
    <w:rsid w:val="000D6172"/>
    <w:rsid w:val="000D670A"/>
    <w:rsid w:val="000D7F44"/>
    <w:rsid w:val="000E0ED7"/>
    <w:rsid w:val="000E6341"/>
    <w:rsid w:val="000E6352"/>
    <w:rsid w:val="000E6821"/>
    <w:rsid w:val="000F0350"/>
    <w:rsid w:val="000F138A"/>
    <w:rsid w:val="000F5CD6"/>
    <w:rsid w:val="001042B4"/>
    <w:rsid w:val="001046BD"/>
    <w:rsid w:val="001058F4"/>
    <w:rsid w:val="00112525"/>
    <w:rsid w:val="00112967"/>
    <w:rsid w:val="001169BA"/>
    <w:rsid w:val="00121B1E"/>
    <w:rsid w:val="00122F8D"/>
    <w:rsid w:val="00125E0C"/>
    <w:rsid w:val="00127217"/>
    <w:rsid w:val="00131262"/>
    <w:rsid w:val="001312E6"/>
    <w:rsid w:val="00132596"/>
    <w:rsid w:val="00132952"/>
    <w:rsid w:val="0013597D"/>
    <w:rsid w:val="00136EB9"/>
    <w:rsid w:val="00137378"/>
    <w:rsid w:val="00137AF3"/>
    <w:rsid w:val="00140655"/>
    <w:rsid w:val="001466C9"/>
    <w:rsid w:val="00153617"/>
    <w:rsid w:val="00156ED9"/>
    <w:rsid w:val="00157BE3"/>
    <w:rsid w:val="00160845"/>
    <w:rsid w:val="00160FE7"/>
    <w:rsid w:val="00162808"/>
    <w:rsid w:val="00164537"/>
    <w:rsid w:val="00166913"/>
    <w:rsid w:val="00167E12"/>
    <w:rsid w:val="001700CA"/>
    <w:rsid w:val="0017265F"/>
    <w:rsid w:val="00176C20"/>
    <w:rsid w:val="001808E5"/>
    <w:rsid w:val="0018168C"/>
    <w:rsid w:val="00182411"/>
    <w:rsid w:val="0018550C"/>
    <w:rsid w:val="001866B6"/>
    <w:rsid w:val="00187869"/>
    <w:rsid w:val="00190624"/>
    <w:rsid w:val="00193AD4"/>
    <w:rsid w:val="00193F7C"/>
    <w:rsid w:val="001942C2"/>
    <w:rsid w:val="00195836"/>
    <w:rsid w:val="001A0E82"/>
    <w:rsid w:val="001A1A75"/>
    <w:rsid w:val="001A1D9A"/>
    <w:rsid w:val="001A1FF6"/>
    <w:rsid w:val="001A3BE1"/>
    <w:rsid w:val="001A4C44"/>
    <w:rsid w:val="001B048B"/>
    <w:rsid w:val="001B0F9C"/>
    <w:rsid w:val="001B36DC"/>
    <w:rsid w:val="001B3E9E"/>
    <w:rsid w:val="001B4E4C"/>
    <w:rsid w:val="001C2BBB"/>
    <w:rsid w:val="001C5F19"/>
    <w:rsid w:val="001D2593"/>
    <w:rsid w:val="001D63C6"/>
    <w:rsid w:val="001D6FF2"/>
    <w:rsid w:val="001D753B"/>
    <w:rsid w:val="001E0170"/>
    <w:rsid w:val="001E5AD7"/>
    <w:rsid w:val="001F4ED7"/>
    <w:rsid w:val="001F5B07"/>
    <w:rsid w:val="001F5D1B"/>
    <w:rsid w:val="001F5F8F"/>
    <w:rsid w:val="00200F80"/>
    <w:rsid w:val="00204218"/>
    <w:rsid w:val="00205FAE"/>
    <w:rsid w:val="00207D6D"/>
    <w:rsid w:val="0021023F"/>
    <w:rsid w:val="00211770"/>
    <w:rsid w:val="002144F9"/>
    <w:rsid w:val="002145E7"/>
    <w:rsid w:val="002167C3"/>
    <w:rsid w:val="00217F1F"/>
    <w:rsid w:val="00222296"/>
    <w:rsid w:val="0023217C"/>
    <w:rsid w:val="00232B29"/>
    <w:rsid w:val="0023339A"/>
    <w:rsid w:val="00237259"/>
    <w:rsid w:val="0024207A"/>
    <w:rsid w:val="00243448"/>
    <w:rsid w:val="00251D20"/>
    <w:rsid w:val="00254E74"/>
    <w:rsid w:val="002624DE"/>
    <w:rsid w:val="00262C8B"/>
    <w:rsid w:val="00263FAC"/>
    <w:rsid w:val="00264654"/>
    <w:rsid w:val="00264B55"/>
    <w:rsid w:val="00265B28"/>
    <w:rsid w:val="002661DE"/>
    <w:rsid w:val="00267D67"/>
    <w:rsid w:val="00277951"/>
    <w:rsid w:val="00282D6A"/>
    <w:rsid w:val="00284224"/>
    <w:rsid w:val="002875C6"/>
    <w:rsid w:val="00292094"/>
    <w:rsid w:val="00292B9D"/>
    <w:rsid w:val="00295892"/>
    <w:rsid w:val="002A1CB1"/>
    <w:rsid w:val="002A1FD1"/>
    <w:rsid w:val="002A4E6A"/>
    <w:rsid w:val="002B1713"/>
    <w:rsid w:val="002B36FD"/>
    <w:rsid w:val="002B5783"/>
    <w:rsid w:val="002B5B27"/>
    <w:rsid w:val="002B7A94"/>
    <w:rsid w:val="002C0622"/>
    <w:rsid w:val="002C54C9"/>
    <w:rsid w:val="002C5FD0"/>
    <w:rsid w:val="002D294D"/>
    <w:rsid w:val="002D2AB0"/>
    <w:rsid w:val="002D3F4B"/>
    <w:rsid w:val="002D45CC"/>
    <w:rsid w:val="002D462A"/>
    <w:rsid w:val="002D5E3E"/>
    <w:rsid w:val="002E0AB1"/>
    <w:rsid w:val="002E230A"/>
    <w:rsid w:val="002E79BB"/>
    <w:rsid w:val="002F1262"/>
    <w:rsid w:val="002F1357"/>
    <w:rsid w:val="002F1608"/>
    <w:rsid w:val="002F3503"/>
    <w:rsid w:val="002F40E0"/>
    <w:rsid w:val="002F7C7C"/>
    <w:rsid w:val="003026E7"/>
    <w:rsid w:val="00306637"/>
    <w:rsid w:val="00306695"/>
    <w:rsid w:val="003071E7"/>
    <w:rsid w:val="003111F0"/>
    <w:rsid w:val="003117E8"/>
    <w:rsid w:val="00311DF4"/>
    <w:rsid w:val="00315125"/>
    <w:rsid w:val="003154A3"/>
    <w:rsid w:val="00315BDA"/>
    <w:rsid w:val="00322C7E"/>
    <w:rsid w:val="00324180"/>
    <w:rsid w:val="00324D11"/>
    <w:rsid w:val="00325FD4"/>
    <w:rsid w:val="00326FCB"/>
    <w:rsid w:val="00331D49"/>
    <w:rsid w:val="00332193"/>
    <w:rsid w:val="003327C3"/>
    <w:rsid w:val="0033362F"/>
    <w:rsid w:val="00334BE2"/>
    <w:rsid w:val="00335816"/>
    <w:rsid w:val="003377EA"/>
    <w:rsid w:val="003435F3"/>
    <w:rsid w:val="00344CC4"/>
    <w:rsid w:val="00344D7C"/>
    <w:rsid w:val="00352858"/>
    <w:rsid w:val="00354DB8"/>
    <w:rsid w:val="003566B9"/>
    <w:rsid w:val="00357D39"/>
    <w:rsid w:val="00367349"/>
    <w:rsid w:val="00373438"/>
    <w:rsid w:val="00373D80"/>
    <w:rsid w:val="0037477F"/>
    <w:rsid w:val="00375436"/>
    <w:rsid w:val="00375889"/>
    <w:rsid w:val="0037606B"/>
    <w:rsid w:val="00380F47"/>
    <w:rsid w:val="00381B89"/>
    <w:rsid w:val="0038240E"/>
    <w:rsid w:val="003831BA"/>
    <w:rsid w:val="00385931"/>
    <w:rsid w:val="00385ADA"/>
    <w:rsid w:val="00386499"/>
    <w:rsid w:val="00387D3F"/>
    <w:rsid w:val="0039233A"/>
    <w:rsid w:val="003930BC"/>
    <w:rsid w:val="00393CD1"/>
    <w:rsid w:val="00396749"/>
    <w:rsid w:val="00396C64"/>
    <w:rsid w:val="0039733F"/>
    <w:rsid w:val="003A0D64"/>
    <w:rsid w:val="003A33D1"/>
    <w:rsid w:val="003B19E2"/>
    <w:rsid w:val="003B1A47"/>
    <w:rsid w:val="003B1C52"/>
    <w:rsid w:val="003B4468"/>
    <w:rsid w:val="003B5724"/>
    <w:rsid w:val="003C20C7"/>
    <w:rsid w:val="003C3C2E"/>
    <w:rsid w:val="003D23A6"/>
    <w:rsid w:val="003D2799"/>
    <w:rsid w:val="003D481F"/>
    <w:rsid w:val="003D4B20"/>
    <w:rsid w:val="003D78F8"/>
    <w:rsid w:val="003E1FE4"/>
    <w:rsid w:val="003E3E1C"/>
    <w:rsid w:val="003E61D4"/>
    <w:rsid w:val="003F3EFE"/>
    <w:rsid w:val="003F4B28"/>
    <w:rsid w:val="003F52F7"/>
    <w:rsid w:val="003F577D"/>
    <w:rsid w:val="003F59BF"/>
    <w:rsid w:val="00401BEC"/>
    <w:rsid w:val="0041662A"/>
    <w:rsid w:val="0042255D"/>
    <w:rsid w:val="0043070B"/>
    <w:rsid w:val="00430CBB"/>
    <w:rsid w:val="004324DA"/>
    <w:rsid w:val="004329AD"/>
    <w:rsid w:val="00432F2B"/>
    <w:rsid w:val="0043548B"/>
    <w:rsid w:val="004359C8"/>
    <w:rsid w:val="00435E9E"/>
    <w:rsid w:val="00437505"/>
    <w:rsid w:val="0043764F"/>
    <w:rsid w:val="00441869"/>
    <w:rsid w:val="004420CF"/>
    <w:rsid w:val="00442501"/>
    <w:rsid w:val="00442729"/>
    <w:rsid w:val="00442CB0"/>
    <w:rsid w:val="004446C5"/>
    <w:rsid w:val="00444EB7"/>
    <w:rsid w:val="00445220"/>
    <w:rsid w:val="00445907"/>
    <w:rsid w:val="00451246"/>
    <w:rsid w:val="00451556"/>
    <w:rsid w:val="0045182A"/>
    <w:rsid w:val="0045325E"/>
    <w:rsid w:val="00461908"/>
    <w:rsid w:val="004634D0"/>
    <w:rsid w:val="0046594B"/>
    <w:rsid w:val="00465CBF"/>
    <w:rsid w:val="00470D14"/>
    <w:rsid w:val="00471D90"/>
    <w:rsid w:val="00473F77"/>
    <w:rsid w:val="004742A6"/>
    <w:rsid w:val="0047759E"/>
    <w:rsid w:val="00482536"/>
    <w:rsid w:val="00482F56"/>
    <w:rsid w:val="0049051C"/>
    <w:rsid w:val="0049686C"/>
    <w:rsid w:val="004A277D"/>
    <w:rsid w:val="004A2C1B"/>
    <w:rsid w:val="004A6205"/>
    <w:rsid w:val="004B2C18"/>
    <w:rsid w:val="004B4917"/>
    <w:rsid w:val="004B7B40"/>
    <w:rsid w:val="004B7DFA"/>
    <w:rsid w:val="004C2765"/>
    <w:rsid w:val="004C49F2"/>
    <w:rsid w:val="004D104A"/>
    <w:rsid w:val="004D1C97"/>
    <w:rsid w:val="004D2156"/>
    <w:rsid w:val="004D47D9"/>
    <w:rsid w:val="004D6488"/>
    <w:rsid w:val="004D7F92"/>
    <w:rsid w:val="004E1518"/>
    <w:rsid w:val="004E2C7C"/>
    <w:rsid w:val="004E37C3"/>
    <w:rsid w:val="004E4E9F"/>
    <w:rsid w:val="004F0E1E"/>
    <w:rsid w:val="004F2B76"/>
    <w:rsid w:val="004F4A77"/>
    <w:rsid w:val="004F545F"/>
    <w:rsid w:val="004F6ADB"/>
    <w:rsid w:val="00500863"/>
    <w:rsid w:val="00502891"/>
    <w:rsid w:val="00502E1E"/>
    <w:rsid w:val="005126E5"/>
    <w:rsid w:val="0051307D"/>
    <w:rsid w:val="005176C0"/>
    <w:rsid w:val="00522F99"/>
    <w:rsid w:val="00523B1B"/>
    <w:rsid w:val="00523F37"/>
    <w:rsid w:val="00524412"/>
    <w:rsid w:val="00524A8D"/>
    <w:rsid w:val="00525C12"/>
    <w:rsid w:val="0052665B"/>
    <w:rsid w:val="00526CB8"/>
    <w:rsid w:val="005271DA"/>
    <w:rsid w:val="005278FE"/>
    <w:rsid w:val="00536A14"/>
    <w:rsid w:val="00537EB4"/>
    <w:rsid w:val="005426FF"/>
    <w:rsid w:val="00543312"/>
    <w:rsid w:val="005448A1"/>
    <w:rsid w:val="00552EEA"/>
    <w:rsid w:val="005530E2"/>
    <w:rsid w:val="0055661F"/>
    <w:rsid w:val="00562E7E"/>
    <w:rsid w:val="00565156"/>
    <w:rsid w:val="0056796F"/>
    <w:rsid w:val="00572A15"/>
    <w:rsid w:val="00575B2E"/>
    <w:rsid w:val="00582FC8"/>
    <w:rsid w:val="0058345D"/>
    <w:rsid w:val="005839DE"/>
    <w:rsid w:val="00586EA1"/>
    <w:rsid w:val="00591A7C"/>
    <w:rsid w:val="00592A38"/>
    <w:rsid w:val="005979DE"/>
    <w:rsid w:val="005A1AF1"/>
    <w:rsid w:val="005A47E0"/>
    <w:rsid w:val="005A64A5"/>
    <w:rsid w:val="005A6AA1"/>
    <w:rsid w:val="005A700F"/>
    <w:rsid w:val="005A791D"/>
    <w:rsid w:val="005B09E2"/>
    <w:rsid w:val="005B254B"/>
    <w:rsid w:val="005B32A9"/>
    <w:rsid w:val="005B699C"/>
    <w:rsid w:val="005C6071"/>
    <w:rsid w:val="005C66EC"/>
    <w:rsid w:val="005C6E7A"/>
    <w:rsid w:val="005C7AAA"/>
    <w:rsid w:val="005D7192"/>
    <w:rsid w:val="005E40C0"/>
    <w:rsid w:val="005E46D4"/>
    <w:rsid w:val="005E4BA0"/>
    <w:rsid w:val="005E5B9A"/>
    <w:rsid w:val="005F0680"/>
    <w:rsid w:val="005F0AE1"/>
    <w:rsid w:val="005F6A8B"/>
    <w:rsid w:val="005F7B27"/>
    <w:rsid w:val="0060270D"/>
    <w:rsid w:val="00603B5C"/>
    <w:rsid w:val="00604710"/>
    <w:rsid w:val="006148D6"/>
    <w:rsid w:val="00614F6F"/>
    <w:rsid w:val="0061515D"/>
    <w:rsid w:val="00620506"/>
    <w:rsid w:val="006240BD"/>
    <w:rsid w:val="00630F24"/>
    <w:rsid w:val="006313DB"/>
    <w:rsid w:val="00631AD7"/>
    <w:rsid w:val="00633BE5"/>
    <w:rsid w:val="0063649F"/>
    <w:rsid w:val="00637B04"/>
    <w:rsid w:val="00640226"/>
    <w:rsid w:val="006448A8"/>
    <w:rsid w:val="00646D44"/>
    <w:rsid w:val="00647153"/>
    <w:rsid w:val="006471FE"/>
    <w:rsid w:val="006474FF"/>
    <w:rsid w:val="006561A1"/>
    <w:rsid w:val="00661C54"/>
    <w:rsid w:val="006629E7"/>
    <w:rsid w:val="006677A8"/>
    <w:rsid w:val="00672327"/>
    <w:rsid w:val="00675F94"/>
    <w:rsid w:val="00680F95"/>
    <w:rsid w:val="0068287E"/>
    <w:rsid w:val="006828B8"/>
    <w:rsid w:val="0068419A"/>
    <w:rsid w:val="00684546"/>
    <w:rsid w:val="006854BF"/>
    <w:rsid w:val="00687F55"/>
    <w:rsid w:val="006928E1"/>
    <w:rsid w:val="00694DD7"/>
    <w:rsid w:val="00697269"/>
    <w:rsid w:val="00697AC4"/>
    <w:rsid w:val="006A1E31"/>
    <w:rsid w:val="006A2097"/>
    <w:rsid w:val="006A4D14"/>
    <w:rsid w:val="006A4D92"/>
    <w:rsid w:val="006A6A99"/>
    <w:rsid w:val="006B0AB4"/>
    <w:rsid w:val="006C04BD"/>
    <w:rsid w:val="006C09BE"/>
    <w:rsid w:val="006C2B46"/>
    <w:rsid w:val="006D1083"/>
    <w:rsid w:val="006D23F7"/>
    <w:rsid w:val="006E13F1"/>
    <w:rsid w:val="006E1B67"/>
    <w:rsid w:val="006E2428"/>
    <w:rsid w:val="006E36B5"/>
    <w:rsid w:val="006E4916"/>
    <w:rsid w:val="006E5E1D"/>
    <w:rsid w:val="006E64C5"/>
    <w:rsid w:val="006F243B"/>
    <w:rsid w:val="006F493E"/>
    <w:rsid w:val="00700282"/>
    <w:rsid w:val="00703812"/>
    <w:rsid w:val="00703ED8"/>
    <w:rsid w:val="007044F6"/>
    <w:rsid w:val="007059F0"/>
    <w:rsid w:val="007065F8"/>
    <w:rsid w:val="00707E6C"/>
    <w:rsid w:val="007100E4"/>
    <w:rsid w:val="0071029D"/>
    <w:rsid w:val="00712D3C"/>
    <w:rsid w:val="007149FA"/>
    <w:rsid w:val="0071577F"/>
    <w:rsid w:val="007160D8"/>
    <w:rsid w:val="00717F04"/>
    <w:rsid w:val="00721618"/>
    <w:rsid w:val="007217B1"/>
    <w:rsid w:val="00724971"/>
    <w:rsid w:val="00726CAE"/>
    <w:rsid w:val="007279EB"/>
    <w:rsid w:val="00731094"/>
    <w:rsid w:val="007325B8"/>
    <w:rsid w:val="00732AE8"/>
    <w:rsid w:val="007339A0"/>
    <w:rsid w:val="00735AE8"/>
    <w:rsid w:val="00736D29"/>
    <w:rsid w:val="00737DC7"/>
    <w:rsid w:val="00740197"/>
    <w:rsid w:val="0074021A"/>
    <w:rsid w:val="00743B32"/>
    <w:rsid w:val="00743FFD"/>
    <w:rsid w:val="00745374"/>
    <w:rsid w:val="00746E7F"/>
    <w:rsid w:val="007478D9"/>
    <w:rsid w:val="00750B1C"/>
    <w:rsid w:val="007529C4"/>
    <w:rsid w:val="007529D9"/>
    <w:rsid w:val="00756336"/>
    <w:rsid w:val="007571AC"/>
    <w:rsid w:val="0076394C"/>
    <w:rsid w:val="00765B0F"/>
    <w:rsid w:val="00766035"/>
    <w:rsid w:val="007670C3"/>
    <w:rsid w:val="00767CF1"/>
    <w:rsid w:val="007703E7"/>
    <w:rsid w:val="00775E2E"/>
    <w:rsid w:val="007773A9"/>
    <w:rsid w:val="0078200C"/>
    <w:rsid w:val="00782476"/>
    <w:rsid w:val="00783B63"/>
    <w:rsid w:val="00783E5E"/>
    <w:rsid w:val="00784DE3"/>
    <w:rsid w:val="007910B9"/>
    <w:rsid w:val="007A5F3F"/>
    <w:rsid w:val="007A6FFF"/>
    <w:rsid w:val="007B2374"/>
    <w:rsid w:val="007B75AC"/>
    <w:rsid w:val="007C508F"/>
    <w:rsid w:val="007C5323"/>
    <w:rsid w:val="007C5898"/>
    <w:rsid w:val="007C6594"/>
    <w:rsid w:val="007C664C"/>
    <w:rsid w:val="007C71FE"/>
    <w:rsid w:val="007D5B76"/>
    <w:rsid w:val="007D7F8D"/>
    <w:rsid w:val="007E040B"/>
    <w:rsid w:val="007E2988"/>
    <w:rsid w:val="007E5B51"/>
    <w:rsid w:val="007E6D8C"/>
    <w:rsid w:val="007F33A1"/>
    <w:rsid w:val="007F6E0D"/>
    <w:rsid w:val="007F7409"/>
    <w:rsid w:val="00800775"/>
    <w:rsid w:val="008023F0"/>
    <w:rsid w:val="0080243B"/>
    <w:rsid w:val="008026A0"/>
    <w:rsid w:val="008058A8"/>
    <w:rsid w:val="00806DB4"/>
    <w:rsid w:val="008079FB"/>
    <w:rsid w:val="00812F48"/>
    <w:rsid w:val="00816B48"/>
    <w:rsid w:val="008200E5"/>
    <w:rsid w:val="0082197A"/>
    <w:rsid w:val="00825B4C"/>
    <w:rsid w:val="00825FB4"/>
    <w:rsid w:val="00832068"/>
    <w:rsid w:val="00837066"/>
    <w:rsid w:val="008379BE"/>
    <w:rsid w:val="0084073E"/>
    <w:rsid w:val="008501BB"/>
    <w:rsid w:val="00850429"/>
    <w:rsid w:val="00852DF6"/>
    <w:rsid w:val="00856B50"/>
    <w:rsid w:val="0086015C"/>
    <w:rsid w:val="00860ECE"/>
    <w:rsid w:val="00861BEF"/>
    <w:rsid w:val="0086286B"/>
    <w:rsid w:val="00866E30"/>
    <w:rsid w:val="008721D7"/>
    <w:rsid w:val="00877F8A"/>
    <w:rsid w:val="008818D0"/>
    <w:rsid w:val="00881EBE"/>
    <w:rsid w:val="00882D75"/>
    <w:rsid w:val="00887B12"/>
    <w:rsid w:val="00893B83"/>
    <w:rsid w:val="00895030"/>
    <w:rsid w:val="00896840"/>
    <w:rsid w:val="008A1007"/>
    <w:rsid w:val="008A1274"/>
    <w:rsid w:val="008A137E"/>
    <w:rsid w:val="008A1946"/>
    <w:rsid w:val="008A3D8F"/>
    <w:rsid w:val="008A4675"/>
    <w:rsid w:val="008A56C4"/>
    <w:rsid w:val="008A728E"/>
    <w:rsid w:val="008A7C03"/>
    <w:rsid w:val="008B0946"/>
    <w:rsid w:val="008B1DFB"/>
    <w:rsid w:val="008B24B5"/>
    <w:rsid w:val="008B2E43"/>
    <w:rsid w:val="008B3480"/>
    <w:rsid w:val="008B4FA4"/>
    <w:rsid w:val="008C1697"/>
    <w:rsid w:val="008C24FC"/>
    <w:rsid w:val="008C61C4"/>
    <w:rsid w:val="008C69C8"/>
    <w:rsid w:val="008C746D"/>
    <w:rsid w:val="008D173B"/>
    <w:rsid w:val="008D29AE"/>
    <w:rsid w:val="008D6B5E"/>
    <w:rsid w:val="008E169E"/>
    <w:rsid w:val="008E2BC8"/>
    <w:rsid w:val="008E43D8"/>
    <w:rsid w:val="008E4639"/>
    <w:rsid w:val="008E56AF"/>
    <w:rsid w:val="008F2BA9"/>
    <w:rsid w:val="008F5899"/>
    <w:rsid w:val="00900B98"/>
    <w:rsid w:val="0090146F"/>
    <w:rsid w:val="00901EB6"/>
    <w:rsid w:val="00915046"/>
    <w:rsid w:val="00915D97"/>
    <w:rsid w:val="00916B9E"/>
    <w:rsid w:val="00921B15"/>
    <w:rsid w:val="00921B44"/>
    <w:rsid w:val="00922B60"/>
    <w:rsid w:val="00923178"/>
    <w:rsid w:val="00925B79"/>
    <w:rsid w:val="00930A66"/>
    <w:rsid w:val="0093309F"/>
    <w:rsid w:val="0093412D"/>
    <w:rsid w:val="0093555E"/>
    <w:rsid w:val="00935A37"/>
    <w:rsid w:val="00940CBE"/>
    <w:rsid w:val="0095228B"/>
    <w:rsid w:val="00956332"/>
    <w:rsid w:val="009578B8"/>
    <w:rsid w:val="009619C3"/>
    <w:rsid w:val="00963C34"/>
    <w:rsid w:val="00967301"/>
    <w:rsid w:val="00967F67"/>
    <w:rsid w:val="0097185E"/>
    <w:rsid w:val="0097254F"/>
    <w:rsid w:val="00972AC8"/>
    <w:rsid w:val="0097663C"/>
    <w:rsid w:val="00976CDD"/>
    <w:rsid w:val="00980F44"/>
    <w:rsid w:val="00981047"/>
    <w:rsid w:val="0098347A"/>
    <w:rsid w:val="0098417D"/>
    <w:rsid w:val="00984485"/>
    <w:rsid w:val="0098519F"/>
    <w:rsid w:val="009947A2"/>
    <w:rsid w:val="0099494E"/>
    <w:rsid w:val="00996524"/>
    <w:rsid w:val="00996E30"/>
    <w:rsid w:val="00996E67"/>
    <w:rsid w:val="009A1A3D"/>
    <w:rsid w:val="009A2CAD"/>
    <w:rsid w:val="009A3089"/>
    <w:rsid w:val="009A35DC"/>
    <w:rsid w:val="009A4660"/>
    <w:rsid w:val="009A4AC1"/>
    <w:rsid w:val="009A7437"/>
    <w:rsid w:val="009A7E9B"/>
    <w:rsid w:val="009B1536"/>
    <w:rsid w:val="009B1E17"/>
    <w:rsid w:val="009B223E"/>
    <w:rsid w:val="009B6B14"/>
    <w:rsid w:val="009B7D0A"/>
    <w:rsid w:val="009C196C"/>
    <w:rsid w:val="009C1BE7"/>
    <w:rsid w:val="009C2E92"/>
    <w:rsid w:val="009C3F66"/>
    <w:rsid w:val="009C4786"/>
    <w:rsid w:val="009C5B54"/>
    <w:rsid w:val="009D4A1A"/>
    <w:rsid w:val="009D6C4A"/>
    <w:rsid w:val="009E0CC0"/>
    <w:rsid w:val="009E11AC"/>
    <w:rsid w:val="009E2DD0"/>
    <w:rsid w:val="009E2EBE"/>
    <w:rsid w:val="009E3010"/>
    <w:rsid w:val="009E4688"/>
    <w:rsid w:val="009E5D3E"/>
    <w:rsid w:val="009F18E0"/>
    <w:rsid w:val="009F4F53"/>
    <w:rsid w:val="009F6670"/>
    <w:rsid w:val="009F7D2E"/>
    <w:rsid w:val="00A00CCF"/>
    <w:rsid w:val="00A05C87"/>
    <w:rsid w:val="00A10A94"/>
    <w:rsid w:val="00A130AA"/>
    <w:rsid w:val="00A167E4"/>
    <w:rsid w:val="00A1793A"/>
    <w:rsid w:val="00A2037C"/>
    <w:rsid w:val="00A30975"/>
    <w:rsid w:val="00A30E05"/>
    <w:rsid w:val="00A324D4"/>
    <w:rsid w:val="00A35A2E"/>
    <w:rsid w:val="00A36C25"/>
    <w:rsid w:val="00A379D8"/>
    <w:rsid w:val="00A40F4B"/>
    <w:rsid w:val="00A42067"/>
    <w:rsid w:val="00A4270A"/>
    <w:rsid w:val="00A43F03"/>
    <w:rsid w:val="00A44971"/>
    <w:rsid w:val="00A5152E"/>
    <w:rsid w:val="00A51D91"/>
    <w:rsid w:val="00A52714"/>
    <w:rsid w:val="00A55897"/>
    <w:rsid w:val="00A56889"/>
    <w:rsid w:val="00A65DB6"/>
    <w:rsid w:val="00A65E9C"/>
    <w:rsid w:val="00A77149"/>
    <w:rsid w:val="00A776F2"/>
    <w:rsid w:val="00A77BEE"/>
    <w:rsid w:val="00A8577D"/>
    <w:rsid w:val="00A96CC6"/>
    <w:rsid w:val="00AA02AC"/>
    <w:rsid w:val="00AA2F64"/>
    <w:rsid w:val="00AA3118"/>
    <w:rsid w:val="00AA3CF0"/>
    <w:rsid w:val="00AA3DDB"/>
    <w:rsid w:val="00AA6A0D"/>
    <w:rsid w:val="00AB208E"/>
    <w:rsid w:val="00AC2A7C"/>
    <w:rsid w:val="00AC39A1"/>
    <w:rsid w:val="00AC5BA3"/>
    <w:rsid w:val="00AC705F"/>
    <w:rsid w:val="00AD1252"/>
    <w:rsid w:val="00AD25AC"/>
    <w:rsid w:val="00AD2C48"/>
    <w:rsid w:val="00AD481B"/>
    <w:rsid w:val="00AD6B6B"/>
    <w:rsid w:val="00AD6D74"/>
    <w:rsid w:val="00AE06AB"/>
    <w:rsid w:val="00AE08C0"/>
    <w:rsid w:val="00AE1A2D"/>
    <w:rsid w:val="00AE52F8"/>
    <w:rsid w:val="00AE7549"/>
    <w:rsid w:val="00AF43C8"/>
    <w:rsid w:val="00AF44B8"/>
    <w:rsid w:val="00B005F4"/>
    <w:rsid w:val="00B05663"/>
    <w:rsid w:val="00B05788"/>
    <w:rsid w:val="00B06349"/>
    <w:rsid w:val="00B144F4"/>
    <w:rsid w:val="00B16D3A"/>
    <w:rsid w:val="00B17410"/>
    <w:rsid w:val="00B17477"/>
    <w:rsid w:val="00B17936"/>
    <w:rsid w:val="00B22E38"/>
    <w:rsid w:val="00B25185"/>
    <w:rsid w:val="00B320D3"/>
    <w:rsid w:val="00B32A13"/>
    <w:rsid w:val="00B35202"/>
    <w:rsid w:val="00B3580F"/>
    <w:rsid w:val="00B35F6E"/>
    <w:rsid w:val="00B4232A"/>
    <w:rsid w:val="00B44B88"/>
    <w:rsid w:val="00B5050B"/>
    <w:rsid w:val="00B50A41"/>
    <w:rsid w:val="00B57F22"/>
    <w:rsid w:val="00B61F6E"/>
    <w:rsid w:val="00B635C1"/>
    <w:rsid w:val="00B720EB"/>
    <w:rsid w:val="00B72AF0"/>
    <w:rsid w:val="00B733FF"/>
    <w:rsid w:val="00B74849"/>
    <w:rsid w:val="00B748C0"/>
    <w:rsid w:val="00B9146D"/>
    <w:rsid w:val="00B92C5D"/>
    <w:rsid w:val="00B95843"/>
    <w:rsid w:val="00B95AE8"/>
    <w:rsid w:val="00B95BB9"/>
    <w:rsid w:val="00B9662F"/>
    <w:rsid w:val="00BA1CF5"/>
    <w:rsid w:val="00BA240D"/>
    <w:rsid w:val="00BA273A"/>
    <w:rsid w:val="00BA46D1"/>
    <w:rsid w:val="00BA47F5"/>
    <w:rsid w:val="00BA652B"/>
    <w:rsid w:val="00BB04D8"/>
    <w:rsid w:val="00BB1F97"/>
    <w:rsid w:val="00BC2628"/>
    <w:rsid w:val="00BC3790"/>
    <w:rsid w:val="00BC3FAC"/>
    <w:rsid w:val="00BD11AB"/>
    <w:rsid w:val="00BD2331"/>
    <w:rsid w:val="00BD360D"/>
    <w:rsid w:val="00BD7811"/>
    <w:rsid w:val="00BE0AF7"/>
    <w:rsid w:val="00BE1B07"/>
    <w:rsid w:val="00BE3929"/>
    <w:rsid w:val="00BE5239"/>
    <w:rsid w:val="00BE5C7B"/>
    <w:rsid w:val="00BE75C7"/>
    <w:rsid w:val="00BE77C7"/>
    <w:rsid w:val="00BF007D"/>
    <w:rsid w:val="00BF0A22"/>
    <w:rsid w:val="00BF3AC6"/>
    <w:rsid w:val="00C01049"/>
    <w:rsid w:val="00C01B09"/>
    <w:rsid w:val="00C02AE2"/>
    <w:rsid w:val="00C04396"/>
    <w:rsid w:val="00C05C36"/>
    <w:rsid w:val="00C0692D"/>
    <w:rsid w:val="00C074CF"/>
    <w:rsid w:val="00C07AA1"/>
    <w:rsid w:val="00C1020D"/>
    <w:rsid w:val="00C12E02"/>
    <w:rsid w:val="00C14FBD"/>
    <w:rsid w:val="00C21726"/>
    <w:rsid w:val="00C21B13"/>
    <w:rsid w:val="00C23951"/>
    <w:rsid w:val="00C314FF"/>
    <w:rsid w:val="00C32F00"/>
    <w:rsid w:val="00C34271"/>
    <w:rsid w:val="00C40882"/>
    <w:rsid w:val="00C40F47"/>
    <w:rsid w:val="00C44169"/>
    <w:rsid w:val="00C47774"/>
    <w:rsid w:val="00C47D71"/>
    <w:rsid w:val="00C55E62"/>
    <w:rsid w:val="00C60A54"/>
    <w:rsid w:val="00C6158E"/>
    <w:rsid w:val="00C62BBC"/>
    <w:rsid w:val="00C66234"/>
    <w:rsid w:val="00C73826"/>
    <w:rsid w:val="00C753D4"/>
    <w:rsid w:val="00C82F8A"/>
    <w:rsid w:val="00C839F2"/>
    <w:rsid w:val="00C84378"/>
    <w:rsid w:val="00C844D6"/>
    <w:rsid w:val="00C86663"/>
    <w:rsid w:val="00C8726D"/>
    <w:rsid w:val="00C93466"/>
    <w:rsid w:val="00C95911"/>
    <w:rsid w:val="00C9692D"/>
    <w:rsid w:val="00C9737D"/>
    <w:rsid w:val="00CA2C3F"/>
    <w:rsid w:val="00CA37A9"/>
    <w:rsid w:val="00CA4FD1"/>
    <w:rsid w:val="00CA68B4"/>
    <w:rsid w:val="00CB127D"/>
    <w:rsid w:val="00CB1955"/>
    <w:rsid w:val="00CB2827"/>
    <w:rsid w:val="00CB7137"/>
    <w:rsid w:val="00CC06E8"/>
    <w:rsid w:val="00CC30F5"/>
    <w:rsid w:val="00CD0C25"/>
    <w:rsid w:val="00CD31D1"/>
    <w:rsid w:val="00CD5E82"/>
    <w:rsid w:val="00CD6886"/>
    <w:rsid w:val="00CD6991"/>
    <w:rsid w:val="00CE0226"/>
    <w:rsid w:val="00CE3F3A"/>
    <w:rsid w:val="00CE416E"/>
    <w:rsid w:val="00CE49A5"/>
    <w:rsid w:val="00CE4A27"/>
    <w:rsid w:val="00CE6F77"/>
    <w:rsid w:val="00CF0D30"/>
    <w:rsid w:val="00CF4611"/>
    <w:rsid w:val="00CF4B3B"/>
    <w:rsid w:val="00CF55EA"/>
    <w:rsid w:val="00CF6A96"/>
    <w:rsid w:val="00D009AF"/>
    <w:rsid w:val="00D015FA"/>
    <w:rsid w:val="00D03604"/>
    <w:rsid w:val="00D0542B"/>
    <w:rsid w:val="00D054DF"/>
    <w:rsid w:val="00D13996"/>
    <w:rsid w:val="00D15223"/>
    <w:rsid w:val="00D15293"/>
    <w:rsid w:val="00D16309"/>
    <w:rsid w:val="00D22FCA"/>
    <w:rsid w:val="00D23C64"/>
    <w:rsid w:val="00D256F9"/>
    <w:rsid w:val="00D2788E"/>
    <w:rsid w:val="00D3384D"/>
    <w:rsid w:val="00D357FF"/>
    <w:rsid w:val="00D36B85"/>
    <w:rsid w:val="00D40BC7"/>
    <w:rsid w:val="00D4652C"/>
    <w:rsid w:val="00D475D9"/>
    <w:rsid w:val="00D4796C"/>
    <w:rsid w:val="00D50C9E"/>
    <w:rsid w:val="00D54C4F"/>
    <w:rsid w:val="00D6407D"/>
    <w:rsid w:val="00D663B9"/>
    <w:rsid w:val="00D6657D"/>
    <w:rsid w:val="00D66F6A"/>
    <w:rsid w:val="00D67B55"/>
    <w:rsid w:val="00D72C71"/>
    <w:rsid w:val="00D758B3"/>
    <w:rsid w:val="00D81631"/>
    <w:rsid w:val="00D8410D"/>
    <w:rsid w:val="00D84C65"/>
    <w:rsid w:val="00D8747E"/>
    <w:rsid w:val="00D9111F"/>
    <w:rsid w:val="00D91D26"/>
    <w:rsid w:val="00D944D6"/>
    <w:rsid w:val="00D95D95"/>
    <w:rsid w:val="00DA1F2D"/>
    <w:rsid w:val="00DA314F"/>
    <w:rsid w:val="00DA3D07"/>
    <w:rsid w:val="00DA4CEB"/>
    <w:rsid w:val="00DA512F"/>
    <w:rsid w:val="00DA7EA5"/>
    <w:rsid w:val="00DB119B"/>
    <w:rsid w:val="00DB2ABE"/>
    <w:rsid w:val="00DB305B"/>
    <w:rsid w:val="00DB31EA"/>
    <w:rsid w:val="00DB4DB4"/>
    <w:rsid w:val="00DB50D5"/>
    <w:rsid w:val="00DB7298"/>
    <w:rsid w:val="00DC0035"/>
    <w:rsid w:val="00DC0EC0"/>
    <w:rsid w:val="00DC1443"/>
    <w:rsid w:val="00DC5309"/>
    <w:rsid w:val="00DC74B6"/>
    <w:rsid w:val="00DD2BC1"/>
    <w:rsid w:val="00DD34EE"/>
    <w:rsid w:val="00DD352A"/>
    <w:rsid w:val="00DE1B9E"/>
    <w:rsid w:val="00DF0081"/>
    <w:rsid w:val="00DF162E"/>
    <w:rsid w:val="00DF33F8"/>
    <w:rsid w:val="00DF4AA7"/>
    <w:rsid w:val="00DF5557"/>
    <w:rsid w:val="00DF7305"/>
    <w:rsid w:val="00E0122A"/>
    <w:rsid w:val="00E027BE"/>
    <w:rsid w:val="00E123EA"/>
    <w:rsid w:val="00E14711"/>
    <w:rsid w:val="00E16E95"/>
    <w:rsid w:val="00E208C6"/>
    <w:rsid w:val="00E24FF3"/>
    <w:rsid w:val="00E26935"/>
    <w:rsid w:val="00E32213"/>
    <w:rsid w:val="00E3267D"/>
    <w:rsid w:val="00E32C85"/>
    <w:rsid w:val="00E33B4D"/>
    <w:rsid w:val="00E35072"/>
    <w:rsid w:val="00E376AA"/>
    <w:rsid w:val="00E40683"/>
    <w:rsid w:val="00E41907"/>
    <w:rsid w:val="00E42993"/>
    <w:rsid w:val="00E45F5E"/>
    <w:rsid w:val="00E4701A"/>
    <w:rsid w:val="00E47F07"/>
    <w:rsid w:val="00E5092E"/>
    <w:rsid w:val="00E51E9A"/>
    <w:rsid w:val="00E54764"/>
    <w:rsid w:val="00E60B10"/>
    <w:rsid w:val="00E673A6"/>
    <w:rsid w:val="00E70382"/>
    <w:rsid w:val="00E70D10"/>
    <w:rsid w:val="00E7391A"/>
    <w:rsid w:val="00E769BF"/>
    <w:rsid w:val="00E81FFA"/>
    <w:rsid w:val="00E853D2"/>
    <w:rsid w:val="00E864A6"/>
    <w:rsid w:val="00E90226"/>
    <w:rsid w:val="00E91D6B"/>
    <w:rsid w:val="00E921C8"/>
    <w:rsid w:val="00E92457"/>
    <w:rsid w:val="00E92BBE"/>
    <w:rsid w:val="00E9484B"/>
    <w:rsid w:val="00E95359"/>
    <w:rsid w:val="00E974AD"/>
    <w:rsid w:val="00EA0C47"/>
    <w:rsid w:val="00EA1545"/>
    <w:rsid w:val="00EA45FC"/>
    <w:rsid w:val="00EA5F23"/>
    <w:rsid w:val="00EA7059"/>
    <w:rsid w:val="00EB2BE5"/>
    <w:rsid w:val="00EB54E8"/>
    <w:rsid w:val="00EC055C"/>
    <w:rsid w:val="00EC5BF7"/>
    <w:rsid w:val="00EC7E4B"/>
    <w:rsid w:val="00EE0775"/>
    <w:rsid w:val="00EE1B29"/>
    <w:rsid w:val="00EE1FDA"/>
    <w:rsid w:val="00EE55F2"/>
    <w:rsid w:val="00EF305A"/>
    <w:rsid w:val="00EF4B51"/>
    <w:rsid w:val="00EF578C"/>
    <w:rsid w:val="00F0094E"/>
    <w:rsid w:val="00F01E4F"/>
    <w:rsid w:val="00F02BF4"/>
    <w:rsid w:val="00F04072"/>
    <w:rsid w:val="00F04A72"/>
    <w:rsid w:val="00F0552C"/>
    <w:rsid w:val="00F06552"/>
    <w:rsid w:val="00F10EEF"/>
    <w:rsid w:val="00F20A53"/>
    <w:rsid w:val="00F21A59"/>
    <w:rsid w:val="00F23C2A"/>
    <w:rsid w:val="00F2700D"/>
    <w:rsid w:val="00F273B7"/>
    <w:rsid w:val="00F27FFA"/>
    <w:rsid w:val="00F32F81"/>
    <w:rsid w:val="00F33F89"/>
    <w:rsid w:val="00F37A03"/>
    <w:rsid w:val="00F46570"/>
    <w:rsid w:val="00F46B54"/>
    <w:rsid w:val="00F53829"/>
    <w:rsid w:val="00F55B0A"/>
    <w:rsid w:val="00F622DF"/>
    <w:rsid w:val="00F63FF5"/>
    <w:rsid w:val="00F703E6"/>
    <w:rsid w:val="00F70747"/>
    <w:rsid w:val="00F72B70"/>
    <w:rsid w:val="00F72C25"/>
    <w:rsid w:val="00F7336A"/>
    <w:rsid w:val="00F73E67"/>
    <w:rsid w:val="00F75B07"/>
    <w:rsid w:val="00F75DB1"/>
    <w:rsid w:val="00F82950"/>
    <w:rsid w:val="00F83B07"/>
    <w:rsid w:val="00F9231C"/>
    <w:rsid w:val="00F93EB9"/>
    <w:rsid w:val="00F942EC"/>
    <w:rsid w:val="00F94D2F"/>
    <w:rsid w:val="00F96EC3"/>
    <w:rsid w:val="00F97988"/>
    <w:rsid w:val="00FA39C4"/>
    <w:rsid w:val="00FA421E"/>
    <w:rsid w:val="00FA6CA4"/>
    <w:rsid w:val="00FA701C"/>
    <w:rsid w:val="00FB3154"/>
    <w:rsid w:val="00FB31A1"/>
    <w:rsid w:val="00FB43D6"/>
    <w:rsid w:val="00FB5A10"/>
    <w:rsid w:val="00FB6680"/>
    <w:rsid w:val="00FB766F"/>
    <w:rsid w:val="00FC14AE"/>
    <w:rsid w:val="00FC41A9"/>
    <w:rsid w:val="00FC5646"/>
    <w:rsid w:val="00FC6974"/>
    <w:rsid w:val="00FD05EC"/>
    <w:rsid w:val="00FD1955"/>
    <w:rsid w:val="00FD3D92"/>
    <w:rsid w:val="00FD716B"/>
    <w:rsid w:val="00FE11D9"/>
    <w:rsid w:val="00FE453C"/>
    <w:rsid w:val="00FE49BE"/>
    <w:rsid w:val="00FF110D"/>
    <w:rsid w:val="00FF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B37D"/>
  <w15:docId w15:val="{F59D3396-43A4-412F-8316-274CC3DB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7">
    <w:name w:val="heading 7"/>
    <w:basedOn w:val="a"/>
    <w:next w:val="a"/>
    <w:link w:val="70"/>
    <w:uiPriority w:val="9"/>
    <w:semiHidden/>
    <w:unhideWhenUsed/>
    <w:qFormat/>
    <w:rsid w:val="00C8726D"/>
    <w:pPr>
      <w:keepNext/>
      <w:pBdr>
        <w:top w:val="single" w:sz="4" w:space="1" w:color="auto"/>
      </w:pBdr>
      <w:overflowPunct w:val="0"/>
      <w:autoSpaceDE w:val="0"/>
      <w:autoSpaceDN w:val="0"/>
      <w:adjustRightInd w:val="0"/>
      <w:spacing w:after="0" w:line="240" w:lineRule="auto"/>
      <w:jc w:val="center"/>
      <w:outlineLvl w:val="6"/>
    </w:pPr>
    <w:rPr>
      <w:rFonts w:eastAsia="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CB1"/>
    <w:pPr>
      <w:tabs>
        <w:tab w:val="center" w:pos="4677"/>
        <w:tab w:val="right" w:pos="9355"/>
      </w:tabs>
    </w:pPr>
    <w:rPr>
      <w:lang w:val="x-none"/>
    </w:rPr>
  </w:style>
  <w:style w:type="character" w:customStyle="1" w:styleId="a4">
    <w:name w:val="Верхний колонтитул Знак"/>
    <w:link w:val="a3"/>
    <w:uiPriority w:val="99"/>
    <w:rsid w:val="002A1CB1"/>
    <w:rPr>
      <w:sz w:val="22"/>
      <w:szCs w:val="22"/>
      <w:lang w:eastAsia="en-US"/>
    </w:rPr>
  </w:style>
  <w:style w:type="paragraph" w:styleId="a5">
    <w:name w:val="footer"/>
    <w:basedOn w:val="a"/>
    <w:link w:val="a6"/>
    <w:uiPriority w:val="99"/>
    <w:unhideWhenUsed/>
    <w:rsid w:val="002A1CB1"/>
    <w:pPr>
      <w:tabs>
        <w:tab w:val="center" w:pos="4677"/>
        <w:tab w:val="right" w:pos="9355"/>
      </w:tabs>
    </w:pPr>
    <w:rPr>
      <w:lang w:val="x-none"/>
    </w:rPr>
  </w:style>
  <w:style w:type="character" w:customStyle="1" w:styleId="a6">
    <w:name w:val="Нижний колонтитул Знак"/>
    <w:link w:val="a5"/>
    <w:uiPriority w:val="99"/>
    <w:rsid w:val="002A1CB1"/>
    <w:rPr>
      <w:sz w:val="22"/>
      <w:szCs w:val="22"/>
      <w:lang w:eastAsia="en-US"/>
    </w:rPr>
  </w:style>
  <w:style w:type="paragraph" w:styleId="a7">
    <w:name w:val="Balloon Text"/>
    <w:basedOn w:val="a"/>
    <w:link w:val="a8"/>
    <w:uiPriority w:val="99"/>
    <w:semiHidden/>
    <w:unhideWhenUsed/>
    <w:rsid w:val="002A1CB1"/>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CB1"/>
    <w:rPr>
      <w:rFonts w:ascii="Tahoma" w:hAnsi="Tahoma" w:cs="Tahoma"/>
      <w:sz w:val="16"/>
      <w:szCs w:val="16"/>
      <w:lang w:eastAsia="en-US"/>
    </w:rPr>
  </w:style>
  <w:style w:type="character" w:styleId="a9">
    <w:name w:val="Hyperlink"/>
    <w:rsid w:val="002A1CB1"/>
    <w:rPr>
      <w:rFonts w:cs="Times New Roman"/>
      <w:color w:val="0000FF"/>
      <w:u w:val="single"/>
    </w:rPr>
  </w:style>
  <w:style w:type="character" w:styleId="aa">
    <w:name w:val="FollowedHyperlink"/>
    <w:uiPriority w:val="99"/>
    <w:semiHidden/>
    <w:unhideWhenUsed/>
    <w:rsid w:val="002A1CB1"/>
    <w:rPr>
      <w:color w:val="800080"/>
      <w:u w:val="single"/>
    </w:rPr>
  </w:style>
  <w:style w:type="paragraph" w:styleId="ab">
    <w:name w:val="Plain Text"/>
    <w:basedOn w:val="a"/>
    <w:link w:val="ac"/>
    <w:uiPriority w:val="99"/>
    <w:rsid w:val="002A1CB1"/>
    <w:pPr>
      <w:spacing w:after="0" w:line="240" w:lineRule="auto"/>
    </w:pPr>
    <w:rPr>
      <w:rFonts w:ascii="Consolas" w:eastAsia="Times New Roman" w:hAnsi="Consolas"/>
      <w:sz w:val="21"/>
      <w:szCs w:val="21"/>
      <w:lang w:val="x-none"/>
    </w:rPr>
  </w:style>
  <w:style w:type="character" w:customStyle="1" w:styleId="ac">
    <w:name w:val="Текст Знак"/>
    <w:link w:val="ab"/>
    <w:uiPriority w:val="99"/>
    <w:rsid w:val="002A1CB1"/>
    <w:rPr>
      <w:rFonts w:ascii="Consolas" w:eastAsia="Times New Roman" w:hAnsi="Consolas"/>
      <w:sz w:val="21"/>
      <w:szCs w:val="21"/>
      <w:lang w:eastAsia="en-US"/>
    </w:rPr>
  </w:style>
  <w:style w:type="paragraph" w:styleId="ad">
    <w:name w:val="Body Text"/>
    <w:basedOn w:val="a"/>
    <w:link w:val="ae"/>
    <w:uiPriority w:val="99"/>
    <w:rsid w:val="00FB31A1"/>
    <w:pPr>
      <w:spacing w:after="0" w:line="240" w:lineRule="auto"/>
      <w:jc w:val="both"/>
    </w:pPr>
    <w:rPr>
      <w:rFonts w:ascii="Times New Roman" w:eastAsia="Times New Roman" w:hAnsi="Times New Roman"/>
      <w:sz w:val="24"/>
      <w:szCs w:val="24"/>
      <w:lang w:val="x-none" w:eastAsia="x-none"/>
    </w:rPr>
  </w:style>
  <w:style w:type="character" w:customStyle="1" w:styleId="ae">
    <w:name w:val="Основной текст Знак"/>
    <w:link w:val="ad"/>
    <w:uiPriority w:val="99"/>
    <w:rsid w:val="00FB31A1"/>
    <w:rPr>
      <w:rFonts w:ascii="Times New Roman" w:eastAsia="Times New Roman" w:hAnsi="Times New Roman"/>
      <w:sz w:val="24"/>
      <w:szCs w:val="24"/>
    </w:rPr>
  </w:style>
  <w:style w:type="paragraph" w:styleId="2">
    <w:name w:val="Body Text Indent 2"/>
    <w:basedOn w:val="a"/>
    <w:link w:val="20"/>
    <w:uiPriority w:val="99"/>
    <w:semiHidden/>
    <w:unhideWhenUsed/>
    <w:rsid w:val="002A4E6A"/>
    <w:pPr>
      <w:spacing w:after="120" w:line="480" w:lineRule="auto"/>
      <w:ind w:left="283"/>
    </w:pPr>
  </w:style>
  <w:style w:type="character" w:customStyle="1" w:styleId="20">
    <w:name w:val="Основной текст с отступом 2 Знак"/>
    <w:link w:val="2"/>
    <w:uiPriority w:val="99"/>
    <w:semiHidden/>
    <w:rsid w:val="002A4E6A"/>
    <w:rPr>
      <w:sz w:val="22"/>
      <w:szCs w:val="22"/>
      <w:lang w:eastAsia="en-US"/>
    </w:rPr>
  </w:style>
  <w:style w:type="paragraph" w:styleId="af">
    <w:name w:val="List Paragraph"/>
    <w:basedOn w:val="a"/>
    <w:uiPriority w:val="34"/>
    <w:qFormat/>
    <w:rsid w:val="00D3384D"/>
    <w:pPr>
      <w:spacing w:after="0" w:line="240" w:lineRule="auto"/>
      <w:ind w:left="720"/>
    </w:pPr>
    <w:rPr>
      <w:rFonts w:cs="Calibri"/>
    </w:rPr>
  </w:style>
  <w:style w:type="paragraph" w:customStyle="1" w:styleId="af0">
    <w:name w:val="Базовый"/>
    <w:rsid w:val="00292094"/>
    <w:pPr>
      <w:suppressAutoHyphens/>
      <w:spacing w:after="200" w:line="276" w:lineRule="auto"/>
    </w:pPr>
    <w:rPr>
      <w:rFonts w:eastAsia="Arial Unicode MS" w:cs="Calibri"/>
      <w:sz w:val="22"/>
      <w:szCs w:val="22"/>
      <w:lang w:eastAsia="en-US"/>
    </w:rPr>
  </w:style>
  <w:style w:type="paragraph" w:styleId="af1">
    <w:name w:val="Revision"/>
    <w:hidden/>
    <w:uiPriority w:val="99"/>
    <w:semiHidden/>
    <w:rsid w:val="004B7DFA"/>
    <w:rPr>
      <w:sz w:val="22"/>
      <w:szCs w:val="22"/>
      <w:lang w:eastAsia="en-US"/>
    </w:rPr>
  </w:style>
  <w:style w:type="table" w:styleId="af2">
    <w:name w:val="Table Grid"/>
    <w:basedOn w:val="a1"/>
    <w:uiPriority w:val="59"/>
    <w:rsid w:val="009947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15CD2"/>
    <w:rPr>
      <w:sz w:val="16"/>
      <w:szCs w:val="16"/>
    </w:rPr>
  </w:style>
  <w:style w:type="paragraph" w:styleId="af4">
    <w:name w:val="annotation text"/>
    <w:basedOn w:val="a"/>
    <w:link w:val="af5"/>
    <w:uiPriority w:val="99"/>
    <w:semiHidden/>
    <w:unhideWhenUsed/>
    <w:rsid w:val="00015CD2"/>
    <w:pPr>
      <w:spacing w:line="240" w:lineRule="auto"/>
    </w:pPr>
    <w:rPr>
      <w:sz w:val="20"/>
      <w:szCs w:val="20"/>
    </w:rPr>
  </w:style>
  <w:style w:type="character" w:customStyle="1" w:styleId="af5">
    <w:name w:val="Текст примечания Знак"/>
    <w:basedOn w:val="a0"/>
    <w:link w:val="af4"/>
    <w:uiPriority w:val="99"/>
    <w:semiHidden/>
    <w:rsid w:val="00015CD2"/>
    <w:rPr>
      <w:lang w:eastAsia="en-US"/>
    </w:rPr>
  </w:style>
  <w:style w:type="paragraph" w:styleId="af6">
    <w:name w:val="annotation subject"/>
    <w:basedOn w:val="af4"/>
    <w:next w:val="af4"/>
    <w:link w:val="af7"/>
    <w:uiPriority w:val="99"/>
    <w:semiHidden/>
    <w:unhideWhenUsed/>
    <w:rsid w:val="00015CD2"/>
    <w:rPr>
      <w:b/>
      <w:bCs/>
    </w:rPr>
  </w:style>
  <w:style w:type="character" w:customStyle="1" w:styleId="af7">
    <w:name w:val="Тема примечания Знак"/>
    <w:basedOn w:val="af5"/>
    <w:link w:val="af6"/>
    <w:uiPriority w:val="99"/>
    <w:semiHidden/>
    <w:rsid w:val="00015CD2"/>
    <w:rPr>
      <w:b/>
      <w:bCs/>
      <w:lang w:eastAsia="en-US"/>
    </w:rPr>
  </w:style>
  <w:style w:type="character" w:customStyle="1" w:styleId="70">
    <w:name w:val="Заголовок 7 Знак"/>
    <w:basedOn w:val="a0"/>
    <w:link w:val="7"/>
    <w:uiPriority w:val="9"/>
    <w:semiHidden/>
    <w:rsid w:val="00C8726D"/>
    <w:rPr>
      <w:rFonts w:eastAsia="Times New Roman"/>
      <w:sz w:val="24"/>
      <w:szCs w:val="24"/>
      <w:lang w:val="x-none" w:eastAsia="x-none"/>
    </w:rPr>
  </w:style>
  <w:style w:type="paragraph" w:customStyle="1" w:styleId="dh-norm-text-3">
    <w:name w:val="dh-norm-text-3"/>
    <w:basedOn w:val="a"/>
    <w:rsid w:val="00C872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56336"/>
  </w:style>
  <w:style w:type="paragraph" w:styleId="af8">
    <w:name w:val="Normal (Web)"/>
    <w:basedOn w:val="a"/>
    <w:uiPriority w:val="99"/>
    <w:semiHidden/>
    <w:unhideWhenUsed/>
    <w:rsid w:val="007279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h-norm-text-31">
    <w:name w:val="dh-norm-text-31"/>
    <w:basedOn w:val="a"/>
    <w:rsid w:val="007279EB"/>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Emphasis"/>
    <w:basedOn w:val="a0"/>
    <w:uiPriority w:val="20"/>
    <w:qFormat/>
    <w:rsid w:val="001D6F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0844">
      <w:bodyDiv w:val="1"/>
      <w:marLeft w:val="0"/>
      <w:marRight w:val="0"/>
      <w:marTop w:val="0"/>
      <w:marBottom w:val="0"/>
      <w:divBdr>
        <w:top w:val="none" w:sz="0" w:space="0" w:color="auto"/>
        <w:left w:val="none" w:sz="0" w:space="0" w:color="auto"/>
        <w:bottom w:val="none" w:sz="0" w:space="0" w:color="auto"/>
        <w:right w:val="none" w:sz="0" w:space="0" w:color="auto"/>
      </w:divBdr>
    </w:div>
    <w:div w:id="104733100">
      <w:bodyDiv w:val="1"/>
      <w:marLeft w:val="0"/>
      <w:marRight w:val="0"/>
      <w:marTop w:val="0"/>
      <w:marBottom w:val="0"/>
      <w:divBdr>
        <w:top w:val="none" w:sz="0" w:space="0" w:color="auto"/>
        <w:left w:val="none" w:sz="0" w:space="0" w:color="auto"/>
        <w:bottom w:val="none" w:sz="0" w:space="0" w:color="auto"/>
        <w:right w:val="none" w:sz="0" w:space="0" w:color="auto"/>
      </w:divBdr>
    </w:div>
    <w:div w:id="151800774">
      <w:bodyDiv w:val="1"/>
      <w:marLeft w:val="0"/>
      <w:marRight w:val="0"/>
      <w:marTop w:val="0"/>
      <w:marBottom w:val="0"/>
      <w:divBdr>
        <w:top w:val="none" w:sz="0" w:space="0" w:color="auto"/>
        <w:left w:val="none" w:sz="0" w:space="0" w:color="auto"/>
        <w:bottom w:val="none" w:sz="0" w:space="0" w:color="auto"/>
        <w:right w:val="none" w:sz="0" w:space="0" w:color="auto"/>
      </w:divBdr>
      <w:divsChild>
        <w:div w:id="813453350">
          <w:marLeft w:val="0"/>
          <w:marRight w:val="0"/>
          <w:marTop w:val="0"/>
          <w:marBottom w:val="0"/>
          <w:divBdr>
            <w:top w:val="none" w:sz="0" w:space="0" w:color="auto"/>
            <w:left w:val="none" w:sz="0" w:space="0" w:color="auto"/>
            <w:bottom w:val="none" w:sz="0" w:space="0" w:color="auto"/>
            <w:right w:val="none" w:sz="0" w:space="0" w:color="auto"/>
          </w:divBdr>
          <w:divsChild>
            <w:div w:id="2501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7871">
      <w:bodyDiv w:val="1"/>
      <w:marLeft w:val="0"/>
      <w:marRight w:val="0"/>
      <w:marTop w:val="0"/>
      <w:marBottom w:val="0"/>
      <w:divBdr>
        <w:top w:val="none" w:sz="0" w:space="0" w:color="auto"/>
        <w:left w:val="none" w:sz="0" w:space="0" w:color="auto"/>
        <w:bottom w:val="none" w:sz="0" w:space="0" w:color="auto"/>
        <w:right w:val="none" w:sz="0" w:space="0" w:color="auto"/>
      </w:divBdr>
    </w:div>
    <w:div w:id="310250760">
      <w:bodyDiv w:val="1"/>
      <w:marLeft w:val="0"/>
      <w:marRight w:val="0"/>
      <w:marTop w:val="0"/>
      <w:marBottom w:val="0"/>
      <w:divBdr>
        <w:top w:val="none" w:sz="0" w:space="0" w:color="auto"/>
        <w:left w:val="none" w:sz="0" w:space="0" w:color="auto"/>
        <w:bottom w:val="none" w:sz="0" w:space="0" w:color="auto"/>
        <w:right w:val="none" w:sz="0" w:space="0" w:color="auto"/>
      </w:divBdr>
      <w:divsChild>
        <w:div w:id="1288118745">
          <w:marLeft w:val="0"/>
          <w:marRight w:val="0"/>
          <w:marTop w:val="0"/>
          <w:marBottom w:val="0"/>
          <w:divBdr>
            <w:top w:val="none" w:sz="0" w:space="0" w:color="auto"/>
            <w:left w:val="none" w:sz="0" w:space="0" w:color="auto"/>
            <w:bottom w:val="none" w:sz="0" w:space="0" w:color="auto"/>
            <w:right w:val="none" w:sz="0" w:space="0" w:color="auto"/>
          </w:divBdr>
          <w:divsChild>
            <w:div w:id="308244713">
              <w:marLeft w:val="0"/>
              <w:marRight w:val="0"/>
              <w:marTop w:val="0"/>
              <w:marBottom w:val="0"/>
              <w:divBdr>
                <w:top w:val="none" w:sz="0" w:space="0" w:color="auto"/>
                <w:left w:val="none" w:sz="0" w:space="0" w:color="auto"/>
                <w:bottom w:val="none" w:sz="0" w:space="0" w:color="auto"/>
                <w:right w:val="none" w:sz="0" w:space="0" w:color="auto"/>
              </w:divBdr>
              <w:divsChild>
                <w:div w:id="1450010255">
                  <w:marLeft w:val="-150"/>
                  <w:marRight w:val="-150"/>
                  <w:marTop w:val="0"/>
                  <w:marBottom w:val="0"/>
                  <w:divBdr>
                    <w:top w:val="none" w:sz="0" w:space="0" w:color="auto"/>
                    <w:left w:val="none" w:sz="0" w:space="0" w:color="auto"/>
                    <w:bottom w:val="none" w:sz="0" w:space="0" w:color="auto"/>
                    <w:right w:val="none" w:sz="0" w:space="0" w:color="auto"/>
                  </w:divBdr>
                  <w:divsChild>
                    <w:div w:id="488525088">
                      <w:marLeft w:val="0"/>
                      <w:marRight w:val="0"/>
                      <w:marTop w:val="0"/>
                      <w:marBottom w:val="0"/>
                      <w:divBdr>
                        <w:top w:val="none" w:sz="0" w:space="0" w:color="auto"/>
                        <w:left w:val="none" w:sz="0" w:space="0" w:color="auto"/>
                        <w:bottom w:val="none" w:sz="0" w:space="0" w:color="auto"/>
                        <w:right w:val="none" w:sz="0" w:space="0" w:color="auto"/>
                      </w:divBdr>
                      <w:divsChild>
                        <w:div w:id="515341642">
                          <w:marLeft w:val="-150"/>
                          <w:marRight w:val="-150"/>
                          <w:marTop w:val="0"/>
                          <w:marBottom w:val="0"/>
                          <w:divBdr>
                            <w:top w:val="none" w:sz="0" w:space="0" w:color="auto"/>
                            <w:left w:val="none" w:sz="0" w:space="0" w:color="auto"/>
                            <w:bottom w:val="none" w:sz="0" w:space="0" w:color="auto"/>
                            <w:right w:val="none" w:sz="0" w:space="0" w:color="auto"/>
                          </w:divBdr>
                          <w:divsChild>
                            <w:div w:id="458492336">
                              <w:marLeft w:val="0"/>
                              <w:marRight w:val="0"/>
                              <w:marTop w:val="0"/>
                              <w:marBottom w:val="0"/>
                              <w:divBdr>
                                <w:top w:val="none" w:sz="0" w:space="0" w:color="auto"/>
                                <w:left w:val="none" w:sz="0" w:space="0" w:color="auto"/>
                                <w:bottom w:val="none" w:sz="0" w:space="0" w:color="auto"/>
                                <w:right w:val="none" w:sz="0" w:space="0" w:color="auto"/>
                              </w:divBdr>
                              <w:divsChild>
                                <w:div w:id="8896577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871601">
      <w:bodyDiv w:val="1"/>
      <w:marLeft w:val="0"/>
      <w:marRight w:val="0"/>
      <w:marTop w:val="0"/>
      <w:marBottom w:val="0"/>
      <w:divBdr>
        <w:top w:val="none" w:sz="0" w:space="0" w:color="auto"/>
        <w:left w:val="none" w:sz="0" w:space="0" w:color="auto"/>
        <w:bottom w:val="none" w:sz="0" w:space="0" w:color="auto"/>
        <w:right w:val="none" w:sz="0" w:space="0" w:color="auto"/>
      </w:divBdr>
      <w:divsChild>
        <w:div w:id="672880244">
          <w:marLeft w:val="0"/>
          <w:marRight w:val="0"/>
          <w:marTop w:val="0"/>
          <w:marBottom w:val="0"/>
          <w:divBdr>
            <w:top w:val="none" w:sz="0" w:space="0" w:color="auto"/>
            <w:left w:val="none" w:sz="0" w:space="0" w:color="auto"/>
            <w:bottom w:val="none" w:sz="0" w:space="0" w:color="auto"/>
            <w:right w:val="none" w:sz="0" w:space="0" w:color="auto"/>
          </w:divBdr>
          <w:divsChild>
            <w:div w:id="14543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45">
      <w:bodyDiv w:val="1"/>
      <w:marLeft w:val="0"/>
      <w:marRight w:val="0"/>
      <w:marTop w:val="0"/>
      <w:marBottom w:val="0"/>
      <w:divBdr>
        <w:top w:val="none" w:sz="0" w:space="0" w:color="auto"/>
        <w:left w:val="none" w:sz="0" w:space="0" w:color="auto"/>
        <w:bottom w:val="none" w:sz="0" w:space="0" w:color="auto"/>
        <w:right w:val="none" w:sz="0" w:space="0" w:color="auto"/>
      </w:divBdr>
    </w:div>
    <w:div w:id="848981647">
      <w:bodyDiv w:val="1"/>
      <w:marLeft w:val="0"/>
      <w:marRight w:val="0"/>
      <w:marTop w:val="0"/>
      <w:marBottom w:val="0"/>
      <w:divBdr>
        <w:top w:val="none" w:sz="0" w:space="0" w:color="auto"/>
        <w:left w:val="none" w:sz="0" w:space="0" w:color="auto"/>
        <w:bottom w:val="none" w:sz="0" w:space="0" w:color="auto"/>
        <w:right w:val="none" w:sz="0" w:space="0" w:color="auto"/>
      </w:divBdr>
    </w:div>
    <w:div w:id="851139176">
      <w:bodyDiv w:val="1"/>
      <w:marLeft w:val="0"/>
      <w:marRight w:val="0"/>
      <w:marTop w:val="0"/>
      <w:marBottom w:val="0"/>
      <w:divBdr>
        <w:top w:val="none" w:sz="0" w:space="0" w:color="auto"/>
        <w:left w:val="none" w:sz="0" w:space="0" w:color="auto"/>
        <w:bottom w:val="none" w:sz="0" w:space="0" w:color="auto"/>
        <w:right w:val="none" w:sz="0" w:space="0" w:color="auto"/>
      </w:divBdr>
    </w:div>
    <w:div w:id="855460122">
      <w:bodyDiv w:val="1"/>
      <w:marLeft w:val="0"/>
      <w:marRight w:val="0"/>
      <w:marTop w:val="0"/>
      <w:marBottom w:val="0"/>
      <w:divBdr>
        <w:top w:val="none" w:sz="0" w:space="0" w:color="auto"/>
        <w:left w:val="none" w:sz="0" w:space="0" w:color="auto"/>
        <w:bottom w:val="none" w:sz="0" w:space="0" w:color="auto"/>
        <w:right w:val="none" w:sz="0" w:space="0" w:color="auto"/>
      </w:divBdr>
    </w:div>
    <w:div w:id="1054429874">
      <w:bodyDiv w:val="1"/>
      <w:marLeft w:val="0"/>
      <w:marRight w:val="0"/>
      <w:marTop w:val="0"/>
      <w:marBottom w:val="0"/>
      <w:divBdr>
        <w:top w:val="none" w:sz="0" w:space="0" w:color="auto"/>
        <w:left w:val="none" w:sz="0" w:space="0" w:color="auto"/>
        <w:bottom w:val="none" w:sz="0" w:space="0" w:color="auto"/>
        <w:right w:val="none" w:sz="0" w:space="0" w:color="auto"/>
      </w:divBdr>
    </w:div>
    <w:div w:id="1162310233">
      <w:bodyDiv w:val="1"/>
      <w:marLeft w:val="0"/>
      <w:marRight w:val="0"/>
      <w:marTop w:val="0"/>
      <w:marBottom w:val="0"/>
      <w:divBdr>
        <w:top w:val="none" w:sz="0" w:space="0" w:color="auto"/>
        <w:left w:val="none" w:sz="0" w:space="0" w:color="auto"/>
        <w:bottom w:val="none" w:sz="0" w:space="0" w:color="auto"/>
        <w:right w:val="none" w:sz="0" w:space="0" w:color="auto"/>
      </w:divBdr>
    </w:div>
    <w:div w:id="1215578703">
      <w:bodyDiv w:val="1"/>
      <w:marLeft w:val="0"/>
      <w:marRight w:val="0"/>
      <w:marTop w:val="0"/>
      <w:marBottom w:val="0"/>
      <w:divBdr>
        <w:top w:val="none" w:sz="0" w:space="0" w:color="auto"/>
        <w:left w:val="none" w:sz="0" w:space="0" w:color="auto"/>
        <w:bottom w:val="none" w:sz="0" w:space="0" w:color="auto"/>
        <w:right w:val="none" w:sz="0" w:space="0" w:color="auto"/>
      </w:divBdr>
    </w:div>
    <w:div w:id="1219317711">
      <w:bodyDiv w:val="1"/>
      <w:marLeft w:val="0"/>
      <w:marRight w:val="0"/>
      <w:marTop w:val="0"/>
      <w:marBottom w:val="0"/>
      <w:divBdr>
        <w:top w:val="none" w:sz="0" w:space="0" w:color="auto"/>
        <w:left w:val="none" w:sz="0" w:space="0" w:color="auto"/>
        <w:bottom w:val="none" w:sz="0" w:space="0" w:color="auto"/>
        <w:right w:val="none" w:sz="0" w:space="0" w:color="auto"/>
      </w:divBdr>
    </w:div>
    <w:div w:id="129290365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2">
          <w:marLeft w:val="0"/>
          <w:marRight w:val="0"/>
          <w:marTop w:val="0"/>
          <w:marBottom w:val="0"/>
          <w:divBdr>
            <w:top w:val="none" w:sz="0" w:space="0" w:color="auto"/>
            <w:left w:val="none" w:sz="0" w:space="0" w:color="auto"/>
            <w:bottom w:val="none" w:sz="0" w:space="0" w:color="auto"/>
            <w:right w:val="none" w:sz="0" w:space="0" w:color="auto"/>
          </w:divBdr>
        </w:div>
      </w:divsChild>
    </w:div>
    <w:div w:id="1388795270">
      <w:bodyDiv w:val="1"/>
      <w:marLeft w:val="0"/>
      <w:marRight w:val="0"/>
      <w:marTop w:val="0"/>
      <w:marBottom w:val="0"/>
      <w:divBdr>
        <w:top w:val="none" w:sz="0" w:space="0" w:color="auto"/>
        <w:left w:val="none" w:sz="0" w:space="0" w:color="auto"/>
        <w:bottom w:val="none" w:sz="0" w:space="0" w:color="auto"/>
        <w:right w:val="none" w:sz="0" w:space="0" w:color="auto"/>
      </w:divBdr>
    </w:div>
    <w:div w:id="1483736902">
      <w:bodyDiv w:val="1"/>
      <w:marLeft w:val="0"/>
      <w:marRight w:val="0"/>
      <w:marTop w:val="0"/>
      <w:marBottom w:val="0"/>
      <w:divBdr>
        <w:top w:val="none" w:sz="0" w:space="0" w:color="auto"/>
        <w:left w:val="none" w:sz="0" w:space="0" w:color="auto"/>
        <w:bottom w:val="none" w:sz="0" w:space="0" w:color="auto"/>
        <w:right w:val="none" w:sz="0" w:space="0" w:color="auto"/>
      </w:divBdr>
      <w:divsChild>
        <w:div w:id="763721675">
          <w:marLeft w:val="0"/>
          <w:marRight w:val="0"/>
          <w:marTop w:val="0"/>
          <w:marBottom w:val="0"/>
          <w:divBdr>
            <w:top w:val="none" w:sz="0" w:space="0" w:color="auto"/>
            <w:left w:val="none" w:sz="0" w:space="0" w:color="auto"/>
            <w:bottom w:val="none" w:sz="0" w:space="0" w:color="auto"/>
            <w:right w:val="none" w:sz="0" w:space="0" w:color="auto"/>
          </w:divBdr>
        </w:div>
      </w:divsChild>
    </w:div>
    <w:div w:id="1580023559">
      <w:bodyDiv w:val="1"/>
      <w:marLeft w:val="0"/>
      <w:marRight w:val="0"/>
      <w:marTop w:val="0"/>
      <w:marBottom w:val="0"/>
      <w:divBdr>
        <w:top w:val="none" w:sz="0" w:space="0" w:color="auto"/>
        <w:left w:val="none" w:sz="0" w:space="0" w:color="auto"/>
        <w:bottom w:val="none" w:sz="0" w:space="0" w:color="auto"/>
        <w:right w:val="none" w:sz="0" w:space="0" w:color="auto"/>
      </w:divBdr>
    </w:div>
    <w:div w:id="1681658902">
      <w:bodyDiv w:val="1"/>
      <w:marLeft w:val="0"/>
      <w:marRight w:val="0"/>
      <w:marTop w:val="0"/>
      <w:marBottom w:val="0"/>
      <w:divBdr>
        <w:top w:val="none" w:sz="0" w:space="0" w:color="auto"/>
        <w:left w:val="none" w:sz="0" w:space="0" w:color="auto"/>
        <w:bottom w:val="none" w:sz="0" w:space="0" w:color="auto"/>
        <w:right w:val="none" w:sz="0" w:space="0" w:color="auto"/>
      </w:divBdr>
    </w:div>
    <w:div w:id="1807355350">
      <w:bodyDiv w:val="1"/>
      <w:marLeft w:val="0"/>
      <w:marRight w:val="0"/>
      <w:marTop w:val="0"/>
      <w:marBottom w:val="0"/>
      <w:divBdr>
        <w:top w:val="none" w:sz="0" w:space="0" w:color="auto"/>
        <w:left w:val="none" w:sz="0" w:space="0" w:color="auto"/>
        <w:bottom w:val="none" w:sz="0" w:space="0" w:color="auto"/>
        <w:right w:val="none" w:sz="0" w:space="0" w:color="auto"/>
      </w:divBdr>
    </w:div>
    <w:div w:id="2038652512">
      <w:bodyDiv w:val="1"/>
      <w:marLeft w:val="0"/>
      <w:marRight w:val="0"/>
      <w:marTop w:val="0"/>
      <w:marBottom w:val="0"/>
      <w:divBdr>
        <w:top w:val="none" w:sz="0" w:space="0" w:color="auto"/>
        <w:left w:val="none" w:sz="0" w:space="0" w:color="auto"/>
        <w:bottom w:val="none" w:sz="0" w:space="0" w:color="auto"/>
        <w:right w:val="none" w:sz="0" w:space="0" w:color="auto"/>
      </w:divBdr>
      <w:divsChild>
        <w:div w:id="984356412">
          <w:marLeft w:val="0"/>
          <w:marRight w:val="0"/>
          <w:marTop w:val="0"/>
          <w:marBottom w:val="0"/>
          <w:divBdr>
            <w:top w:val="none" w:sz="0" w:space="0" w:color="auto"/>
            <w:left w:val="none" w:sz="0" w:space="0" w:color="auto"/>
            <w:bottom w:val="none" w:sz="0" w:space="0" w:color="auto"/>
            <w:right w:val="none" w:sz="0" w:space="0" w:color="auto"/>
          </w:divBdr>
          <w:divsChild>
            <w:div w:id="830486166">
              <w:marLeft w:val="0"/>
              <w:marRight w:val="0"/>
              <w:marTop w:val="0"/>
              <w:marBottom w:val="0"/>
              <w:divBdr>
                <w:top w:val="none" w:sz="0" w:space="0" w:color="auto"/>
                <w:left w:val="none" w:sz="0" w:space="0" w:color="auto"/>
                <w:bottom w:val="none" w:sz="0" w:space="0" w:color="auto"/>
                <w:right w:val="none" w:sz="0" w:space="0" w:color="auto"/>
              </w:divBdr>
              <w:divsChild>
                <w:div w:id="927007655">
                  <w:marLeft w:val="-150"/>
                  <w:marRight w:val="-150"/>
                  <w:marTop w:val="0"/>
                  <w:marBottom w:val="0"/>
                  <w:divBdr>
                    <w:top w:val="none" w:sz="0" w:space="0" w:color="auto"/>
                    <w:left w:val="none" w:sz="0" w:space="0" w:color="auto"/>
                    <w:bottom w:val="none" w:sz="0" w:space="0" w:color="auto"/>
                    <w:right w:val="none" w:sz="0" w:space="0" w:color="auto"/>
                  </w:divBdr>
                  <w:divsChild>
                    <w:div w:id="1766144045">
                      <w:marLeft w:val="0"/>
                      <w:marRight w:val="0"/>
                      <w:marTop w:val="0"/>
                      <w:marBottom w:val="0"/>
                      <w:divBdr>
                        <w:top w:val="none" w:sz="0" w:space="0" w:color="auto"/>
                        <w:left w:val="none" w:sz="0" w:space="0" w:color="auto"/>
                        <w:bottom w:val="none" w:sz="0" w:space="0" w:color="auto"/>
                        <w:right w:val="none" w:sz="0" w:space="0" w:color="auto"/>
                      </w:divBdr>
                      <w:divsChild>
                        <w:div w:id="1787458627">
                          <w:marLeft w:val="-150"/>
                          <w:marRight w:val="-150"/>
                          <w:marTop w:val="0"/>
                          <w:marBottom w:val="0"/>
                          <w:divBdr>
                            <w:top w:val="none" w:sz="0" w:space="0" w:color="auto"/>
                            <w:left w:val="none" w:sz="0" w:space="0" w:color="auto"/>
                            <w:bottom w:val="none" w:sz="0" w:space="0" w:color="auto"/>
                            <w:right w:val="none" w:sz="0" w:space="0" w:color="auto"/>
                          </w:divBdr>
                          <w:divsChild>
                            <w:div w:id="1136601554">
                              <w:marLeft w:val="0"/>
                              <w:marRight w:val="0"/>
                              <w:marTop w:val="0"/>
                              <w:marBottom w:val="0"/>
                              <w:divBdr>
                                <w:top w:val="none" w:sz="0" w:space="0" w:color="auto"/>
                                <w:left w:val="none" w:sz="0" w:space="0" w:color="auto"/>
                                <w:bottom w:val="none" w:sz="0" w:space="0" w:color="auto"/>
                                <w:right w:val="none" w:sz="0" w:space="0" w:color="auto"/>
                              </w:divBdr>
                              <w:divsChild>
                                <w:div w:id="60099284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1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s-pdf.londonstockexchange.com/rns/8821Z_1-2021-5-2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s-pdf.londonstockexchange.com/rns/8821Z_2-2021-5-2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385F-DB4C-40BC-BFE6-9AFAD33B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1751</Words>
  <Characters>9985</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ПРЕСС-РЕЛИЗ</vt:lpstr>
      <vt:lpstr>ПРЕСС-РЕЛИЗ</vt:lpstr>
    </vt:vector>
  </TitlesOfParts>
  <Company>Company</Company>
  <LinksUpToDate>false</LinksUpToDate>
  <CharactersWithSpaces>11713</CharactersWithSpaces>
  <SharedDoc>false</SharedDoc>
  <HLinks>
    <vt:vector size="18" baseType="variant">
      <vt:variant>
        <vt:i4>5308418</vt:i4>
      </vt:variant>
      <vt:variant>
        <vt:i4>6</vt:i4>
      </vt:variant>
      <vt:variant>
        <vt:i4>0</vt:i4>
      </vt:variant>
      <vt:variant>
        <vt:i4>5</vt:i4>
      </vt:variant>
      <vt:variant>
        <vt:lpwstr>http://twitter.com/lukoilrus</vt:lpwstr>
      </vt:variant>
      <vt:variant>
        <vt:lpwstr/>
      </vt:variant>
      <vt:variant>
        <vt:i4>2621500</vt:i4>
      </vt:variant>
      <vt:variant>
        <vt:i4>3</vt:i4>
      </vt:variant>
      <vt:variant>
        <vt:i4>0</vt:i4>
      </vt:variant>
      <vt:variant>
        <vt:i4>5</vt:i4>
      </vt:variant>
      <vt:variant>
        <vt:lpwstr>https://www.facebook.com/LUKOIL</vt:lpwstr>
      </vt:variant>
      <vt:variant>
        <vt:lpwstr/>
      </vt:variant>
      <vt:variant>
        <vt:i4>1966164</vt:i4>
      </vt:variant>
      <vt:variant>
        <vt:i4>0</vt:i4>
      </vt:variant>
      <vt:variant>
        <vt:i4>0</vt:i4>
      </vt:variant>
      <vt:variant>
        <vt:i4>5</vt:i4>
      </vt:variant>
      <vt:variant>
        <vt:lpwstr>http://www.lukoil.ru/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User</dc:creator>
  <cp:lastModifiedBy>Котовская Инна Викторовна</cp:lastModifiedBy>
  <cp:revision>3</cp:revision>
  <cp:lastPrinted>2018-05-26T15:49:00Z</cp:lastPrinted>
  <dcterms:created xsi:type="dcterms:W3CDTF">2021-05-26T08:43:00Z</dcterms:created>
  <dcterms:modified xsi:type="dcterms:W3CDTF">2021-05-26T11:09:00Z</dcterms:modified>
</cp:coreProperties>
</file>